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6"/>
        <w:tblW w:w="0" w:type="auto"/>
        <w:tblInd w:w="-833" w:type="dxa"/>
        <w:tblLook w:val="04A0" w:firstRow="1" w:lastRow="0" w:firstColumn="1" w:lastColumn="0" w:noHBand="0" w:noVBand="1"/>
      </w:tblPr>
      <w:tblGrid>
        <w:gridCol w:w="3396"/>
        <w:gridCol w:w="5959"/>
      </w:tblGrid>
      <w:tr w:rsidR="00034C63" w:rsidRPr="00034C63" w:rsidTr="00674874">
        <w:tc>
          <w:tcPr>
            <w:tcW w:w="3396" w:type="dxa"/>
            <w:tcBorders>
              <w:top w:val="nil"/>
              <w:left w:val="nil"/>
              <w:bottom w:val="nil"/>
              <w:right w:val="nil"/>
            </w:tcBorders>
          </w:tcPr>
          <w:p w:rsidR="00034C63" w:rsidRPr="00034C63" w:rsidRDefault="00034C63" w:rsidP="007102C7">
            <w:pPr>
              <w:suppressAutoHyphens/>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noProof/>
                <w:sz w:val="20"/>
                <w:szCs w:val="20"/>
                <w:lang w:eastAsia="ru-RU"/>
              </w:rPr>
              <w:drawing>
                <wp:inline distT="0" distB="0" distL="0" distR="0" wp14:anchorId="38116A73" wp14:editId="0F2D8DBB">
                  <wp:extent cx="2011680" cy="815641"/>
                  <wp:effectExtent l="0" t="0" r="7620" b="3810"/>
                  <wp:docPr id="2" name="Рисунок 2" descr="Банк &quot;СЕРВИС РЕЗЕРВ&quot; (А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нк &quot;СЕРВИС РЕЗЕРВ&quot; (А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815641"/>
                          </a:xfrm>
                          <a:prstGeom prst="rect">
                            <a:avLst/>
                          </a:prstGeom>
                          <a:noFill/>
                          <a:ln>
                            <a:noFill/>
                          </a:ln>
                        </pic:spPr>
                      </pic:pic>
                    </a:graphicData>
                  </a:graphic>
                </wp:inline>
              </w:drawing>
            </w:r>
          </w:p>
          <w:p w:rsidR="00034C63" w:rsidRPr="00034C63" w:rsidRDefault="00034C63" w:rsidP="007102C7">
            <w:pPr>
              <w:suppressAutoHyphens/>
              <w:jc w:val="center"/>
              <w:rPr>
                <w:rFonts w:ascii="Times New Roman" w:eastAsia="Times New Roman" w:hAnsi="Times New Roman" w:cs="Times New Roman"/>
                <w:sz w:val="24"/>
                <w:szCs w:val="24"/>
                <w:lang w:eastAsia="ar-SA"/>
              </w:rPr>
            </w:pPr>
          </w:p>
          <w:p w:rsidR="00034C63" w:rsidRPr="00034C63" w:rsidRDefault="00034C63" w:rsidP="007102C7">
            <w:pPr>
              <w:suppressAutoHyphens/>
              <w:jc w:val="center"/>
              <w:rPr>
                <w:rFonts w:ascii="Times New Roman" w:eastAsia="Times New Roman" w:hAnsi="Times New Roman" w:cs="Times New Roman"/>
                <w:sz w:val="24"/>
                <w:szCs w:val="24"/>
                <w:lang w:eastAsia="ar-SA"/>
              </w:rPr>
            </w:pPr>
          </w:p>
          <w:p w:rsidR="00034C63" w:rsidRPr="00034C63" w:rsidRDefault="00034C63" w:rsidP="007102C7">
            <w:pPr>
              <w:suppressAutoHyphens/>
              <w:jc w:val="center"/>
              <w:rPr>
                <w:rFonts w:ascii="Times New Roman" w:eastAsia="Times New Roman" w:hAnsi="Times New Roman" w:cs="Times New Roman"/>
                <w:sz w:val="24"/>
                <w:szCs w:val="24"/>
                <w:lang w:eastAsia="ar-SA"/>
              </w:rPr>
            </w:pPr>
          </w:p>
          <w:p w:rsidR="00034C63" w:rsidRPr="00034C63" w:rsidRDefault="00034C63" w:rsidP="007102C7">
            <w:pPr>
              <w:suppressAutoHyphens/>
              <w:jc w:val="center"/>
              <w:rPr>
                <w:rFonts w:ascii="Times New Roman" w:eastAsia="Times New Roman" w:hAnsi="Times New Roman" w:cs="Times New Roman"/>
                <w:sz w:val="24"/>
                <w:szCs w:val="24"/>
                <w:lang w:eastAsia="ar-SA"/>
              </w:rPr>
            </w:pPr>
          </w:p>
          <w:p w:rsidR="00034C63" w:rsidRPr="00034C63" w:rsidRDefault="00034C63" w:rsidP="007102C7">
            <w:pPr>
              <w:suppressAutoHyphens/>
              <w:jc w:val="center"/>
              <w:rPr>
                <w:rFonts w:ascii="Times New Roman" w:eastAsia="Times New Roman" w:hAnsi="Times New Roman" w:cs="Times New Roman"/>
                <w:sz w:val="24"/>
                <w:szCs w:val="24"/>
                <w:lang w:eastAsia="ar-SA"/>
              </w:rPr>
            </w:pPr>
          </w:p>
        </w:tc>
        <w:tc>
          <w:tcPr>
            <w:tcW w:w="5959" w:type="dxa"/>
            <w:tcBorders>
              <w:top w:val="nil"/>
              <w:left w:val="nil"/>
              <w:bottom w:val="nil"/>
              <w:right w:val="nil"/>
            </w:tcBorders>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документе представлено краткое изложение информации об условиях обслуживания расчетных (дебетовых) карт, эмитированных Банком.</w:t>
            </w:r>
          </w:p>
          <w:p w:rsidR="00034C63" w:rsidRPr="00034C63" w:rsidRDefault="00034C63" w:rsidP="007102C7">
            <w:pPr>
              <w:suppressAutoHyphens/>
              <w:autoSpaceDE w:val="0"/>
              <w:autoSpaceDN w:val="0"/>
              <w:adjustRightInd w:val="0"/>
              <w:jc w:val="both"/>
              <w:rPr>
                <w:rFonts w:ascii="Times New Roman" w:hAnsi="Times New Roman" w:cs="Times New Roman"/>
                <w:sz w:val="24"/>
                <w:szCs w:val="24"/>
              </w:rPr>
            </w:pPr>
            <w:r w:rsidRPr="00034C63">
              <w:rPr>
                <w:rFonts w:ascii="Times New Roman" w:eastAsia="Times New Roman" w:hAnsi="Times New Roman" w:cs="Times New Roman"/>
                <w:sz w:val="24"/>
                <w:szCs w:val="24"/>
                <w:lang w:eastAsia="ar-SA"/>
              </w:rPr>
              <w:t>Настоящий документ не является договором, заключаемым Банком с потребителем. Полная информация об условиях выпуска и использования расчетных (дебетовых) карт Банка и порядке совершения расчетных и кассовых операций содержится в Правилах открытия и обслуживания банковского счета юридического лица для расчетов с использованием дебетовой банковской карты или ее реквизитов, выпуска и обслуживания дебетовых банковских карт, порядка использования электронного средства платежа  (корпоративной карты)</w:t>
            </w:r>
            <w:r w:rsidRPr="00034C63">
              <w:rPr>
                <w:rFonts w:ascii="Times New Roman" w:eastAsia="Times New Roman" w:hAnsi="Times New Roman" w:cs="Times New Roman"/>
                <w:spacing w:val="-10"/>
                <w:sz w:val="24"/>
                <w:szCs w:val="24"/>
                <w:lang w:eastAsia="ar-SA"/>
              </w:rPr>
              <w:t xml:space="preserve"> (Правила), которые являются составной частью Договора</w:t>
            </w:r>
            <w:r w:rsidRPr="00034C63">
              <w:rPr>
                <w:rFonts w:ascii="Times New Roman" w:hAnsi="Times New Roman" w:cs="Times New Roman"/>
                <w:sz w:val="24"/>
                <w:szCs w:val="24"/>
              </w:rPr>
              <w:t>, заключаемого с потребителем при оформлении и выдаче расчетной (дебетовой) карты, а также иных связанных с Правилами документах.</w:t>
            </w:r>
          </w:p>
          <w:p w:rsidR="00034C63" w:rsidRPr="00034C63" w:rsidRDefault="00034C63" w:rsidP="007102C7">
            <w:pPr>
              <w:suppressAutoHyphens/>
              <w:autoSpaceDE w:val="0"/>
              <w:autoSpaceDN w:val="0"/>
              <w:adjustRightInd w:val="0"/>
              <w:jc w:val="both"/>
              <w:rPr>
                <w:rFonts w:ascii="Times New Roman" w:hAnsi="Times New Roman" w:cs="Times New Roman"/>
                <w:sz w:val="24"/>
                <w:szCs w:val="24"/>
              </w:rPr>
            </w:pPr>
          </w:p>
        </w:tc>
      </w:tr>
      <w:tr w:rsidR="00034C63" w:rsidRPr="00034C63" w:rsidTr="00674874">
        <w:tc>
          <w:tcPr>
            <w:tcW w:w="9355" w:type="dxa"/>
            <w:gridSpan w:val="2"/>
            <w:tcBorders>
              <w:top w:val="nil"/>
              <w:left w:val="nil"/>
              <w:bottom w:val="single" w:sz="4" w:space="0" w:color="auto"/>
              <w:right w:val="nil"/>
            </w:tcBorders>
          </w:tcPr>
          <w:p w:rsidR="00034C63" w:rsidRPr="00034C63" w:rsidRDefault="00034C63" w:rsidP="007102C7">
            <w:pPr>
              <w:suppressAutoHyphens/>
              <w:jc w:val="center"/>
              <w:rPr>
                <w:rFonts w:ascii="Times New Roman" w:eastAsia="Times New Roman" w:hAnsi="Times New Roman" w:cs="Times New Roman"/>
                <w:b/>
                <w:sz w:val="24"/>
                <w:szCs w:val="24"/>
                <w:lang w:eastAsia="ar-SA"/>
              </w:rPr>
            </w:pPr>
            <w:r w:rsidRPr="00034C63">
              <w:rPr>
                <w:rFonts w:ascii="Times New Roman" w:eastAsia="Times New Roman" w:hAnsi="Times New Roman" w:cs="Times New Roman"/>
                <w:b/>
                <w:sz w:val="24"/>
                <w:szCs w:val="24"/>
                <w:lang w:eastAsia="ar-SA"/>
              </w:rPr>
              <w:t>Банк «СЕРВИС РЕЗЕРВ» (акционерное общество)</w:t>
            </w:r>
          </w:p>
          <w:p w:rsidR="00034C63" w:rsidRPr="00034C63" w:rsidRDefault="00034C63" w:rsidP="007102C7">
            <w:pPr>
              <w:suppressAutoHyphens/>
              <w:jc w:val="center"/>
              <w:rPr>
                <w:rFonts w:ascii="Times New Roman" w:eastAsia="Times New Roman" w:hAnsi="Times New Roman" w:cs="Times New Roman"/>
                <w:b/>
                <w:sz w:val="24"/>
                <w:szCs w:val="24"/>
                <w:lang w:eastAsia="ar-SA"/>
              </w:rPr>
            </w:pPr>
            <w:r w:rsidRPr="00034C63">
              <w:rPr>
                <w:rFonts w:ascii="Times New Roman" w:eastAsia="Times New Roman" w:hAnsi="Times New Roman" w:cs="Times New Roman"/>
                <w:b/>
                <w:sz w:val="24"/>
                <w:szCs w:val="24"/>
                <w:lang w:eastAsia="ar-SA"/>
              </w:rPr>
              <w:t xml:space="preserve">ИНН 6829000290, ОГРН 1027739058720, </w:t>
            </w:r>
          </w:p>
          <w:p w:rsidR="00034C63" w:rsidRPr="00034C63" w:rsidRDefault="00034C63" w:rsidP="007102C7">
            <w:pPr>
              <w:suppressAutoHyphens/>
              <w:jc w:val="center"/>
              <w:rPr>
                <w:rFonts w:ascii="Times New Roman" w:eastAsia="Times New Roman" w:hAnsi="Times New Roman" w:cs="Times New Roman"/>
                <w:b/>
                <w:sz w:val="24"/>
                <w:szCs w:val="24"/>
                <w:lang w:eastAsia="ar-SA"/>
              </w:rPr>
            </w:pPr>
            <w:r w:rsidRPr="00034C63">
              <w:rPr>
                <w:rFonts w:ascii="Times New Roman" w:eastAsia="Times New Roman" w:hAnsi="Times New Roman" w:cs="Times New Roman"/>
                <w:b/>
                <w:sz w:val="24"/>
                <w:szCs w:val="24"/>
                <w:lang w:eastAsia="ar-SA"/>
              </w:rPr>
              <w:t xml:space="preserve">адрес: 101000, </w:t>
            </w:r>
            <w:proofErr w:type="spellStart"/>
            <w:r w:rsidRPr="00034C63">
              <w:rPr>
                <w:rFonts w:ascii="Times New Roman" w:eastAsia="Times New Roman" w:hAnsi="Times New Roman" w:cs="Times New Roman"/>
                <w:b/>
                <w:sz w:val="24"/>
                <w:szCs w:val="24"/>
                <w:lang w:eastAsia="ar-SA"/>
              </w:rPr>
              <w:t>г.Москва</w:t>
            </w:r>
            <w:proofErr w:type="spellEnd"/>
            <w:r w:rsidRPr="00034C63">
              <w:rPr>
                <w:rFonts w:ascii="Times New Roman" w:eastAsia="Times New Roman" w:hAnsi="Times New Roman" w:cs="Times New Roman"/>
                <w:b/>
                <w:sz w:val="24"/>
                <w:szCs w:val="24"/>
                <w:lang w:eastAsia="ar-SA"/>
              </w:rPr>
              <w:t>, ул. Садовая-</w:t>
            </w:r>
            <w:proofErr w:type="spellStart"/>
            <w:r w:rsidRPr="00034C63">
              <w:rPr>
                <w:rFonts w:ascii="Times New Roman" w:eastAsia="Times New Roman" w:hAnsi="Times New Roman" w:cs="Times New Roman"/>
                <w:b/>
                <w:sz w:val="24"/>
                <w:szCs w:val="24"/>
                <w:lang w:eastAsia="ar-SA"/>
              </w:rPr>
              <w:t>Черногрязская</w:t>
            </w:r>
            <w:proofErr w:type="spellEnd"/>
            <w:r w:rsidRPr="00034C63">
              <w:rPr>
                <w:rFonts w:ascii="Times New Roman" w:eastAsia="Times New Roman" w:hAnsi="Times New Roman" w:cs="Times New Roman"/>
                <w:b/>
                <w:sz w:val="24"/>
                <w:szCs w:val="24"/>
                <w:lang w:eastAsia="ar-SA"/>
              </w:rPr>
              <w:t xml:space="preserve">, дом 22, стр.3, </w:t>
            </w:r>
          </w:p>
          <w:p w:rsidR="00034C63" w:rsidRPr="00034C63" w:rsidRDefault="00034C63" w:rsidP="007102C7">
            <w:pPr>
              <w:suppressAutoHyphens/>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b/>
                <w:sz w:val="24"/>
                <w:szCs w:val="24"/>
                <w:lang w:eastAsia="ar-SA"/>
              </w:rPr>
              <w:t xml:space="preserve">тел.: (495) 229-42-00, </w:t>
            </w:r>
            <w:r w:rsidRPr="00034C63">
              <w:rPr>
                <w:rFonts w:ascii="Times New Roman" w:eastAsia="Times New Roman" w:hAnsi="Times New Roman" w:cs="Times New Roman"/>
                <w:b/>
                <w:sz w:val="24"/>
                <w:szCs w:val="24"/>
                <w:lang w:val="en-US" w:eastAsia="ar-SA"/>
              </w:rPr>
              <w:t>email</w:t>
            </w:r>
            <w:r w:rsidRPr="00034C63">
              <w:rPr>
                <w:rFonts w:ascii="Times New Roman" w:eastAsia="Times New Roman" w:hAnsi="Times New Roman" w:cs="Times New Roman"/>
                <w:b/>
                <w:sz w:val="24"/>
                <w:szCs w:val="24"/>
                <w:lang w:eastAsia="ar-SA"/>
              </w:rPr>
              <w:t xml:space="preserve">: </w:t>
            </w:r>
            <w:hyperlink r:id="rId7" w:history="1">
              <w:r w:rsidRPr="00034C63">
                <w:rPr>
                  <w:rFonts w:ascii="Times New Roman" w:eastAsia="Times New Roman" w:hAnsi="Times New Roman" w:cs="Times New Roman"/>
                  <w:b/>
                  <w:color w:val="0000FF"/>
                  <w:sz w:val="20"/>
                  <w:szCs w:val="24"/>
                  <w:u w:val="single"/>
                  <w:lang w:val="en-US" w:eastAsia="ar-SA"/>
                </w:rPr>
                <w:t>bank</w:t>
              </w:r>
              <w:r w:rsidRPr="00034C63">
                <w:rPr>
                  <w:rFonts w:ascii="Times New Roman" w:eastAsia="Times New Roman" w:hAnsi="Times New Roman" w:cs="Times New Roman"/>
                  <w:b/>
                  <w:color w:val="0000FF"/>
                  <w:sz w:val="20"/>
                  <w:szCs w:val="24"/>
                  <w:u w:val="single"/>
                  <w:lang w:eastAsia="ar-SA"/>
                </w:rPr>
                <w:t>@</w:t>
              </w:r>
              <w:r w:rsidRPr="00034C63">
                <w:rPr>
                  <w:rFonts w:ascii="Times New Roman" w:eastAsia="Times New Roman" w:hAnsi="Times New Roman" w:cs="Times New Roman"/>
                  <w:b/>
                  <w:color w:val="0000FF"/>
                  <w:sz w:val="20"/>
                  <w:szCs w:val="24"/>
                  <w:u w:val="single"/>
                  <w:lang w:val="en-US" w:eastAsia="ar-SA"/>
                </w:rPr>
                <w:t>srbank</w:t>
              </w:r>
              <w:r w:rsidRPr="00034C63">
                <w:rPr>
                  <w:rFonts w:ascii="Times New Roman" w:eastAsia="Times New Roman" w:hAnsi="Times New Roman" w:cs="Times New Roman"/>
                  <w:b/>
                  <w:color w:val="0000FF"/>
                  <w:sz w:val="20"/>
                  <w:szCs w:val="24"/>
                  <w:u w:val="single"/>
                  <w:lang w:eastAsia="ar-SA"/>
                </w:rPr>
                <w:t>.</w:t>
              </w:r>
              <w:r w:rsidRPr="00034C63">
                <w:rPr>
                  <w:rFonts w:ascii="Times New Roman" w:eastAsia="Times New Roman" w:hAnsi="Times New Roman" w:cs="Times New Roman"/>
                  <w:b/>
                  <w:color w:val="0000FF"/>
                  <w:sz w:val="20"/>
                  <w:szCs w:val="24"/>
                  <w:u w:val="single"/>
                  <w:lang w:val="en-US" w:eastAsia="ar-SA"/>
                </w:rPr>
                <w:t>ru</w:t>
              </w:r>
            </w:hyperlink>
            <w:r w:rsidRPr="00034C63">
              <w:rPr>
                <w:rFonts w:ascii="Times New Roman" w:eastAsia="Times New Roman" w:hAnsi="Times New Roman" w:cs="Times New Roman"/>
                <w:b/>
                <w:sz w:val="24"/>
                <w:szCs w:val="24"/>
                <w:lang w:eastAsia="ar-SA"/>
              </w:rPr>
              <w:t xml:space="preserve">, сайт: </w:t>
            </w:r>
            <w:hyperlink r:id="rId8" w:history="1">
              <w:r w:rsidRPr="00034C63">
                <w:rPr>
                  <w:rFonts w:ascii="Times New Roman" w:eastAsia="Times New Roman" w:hAnsi="Times New Roman" w:cs="Times New Roman"/>
                  <w:b/>
                  <w:color w:val="0000FF"/>
                  <w:sz w:val="20"/>
                  <w:szCs w:val="24"/>
                  <w:u w:val="single"/>
                  <w:lang w:eastAsia="ar-SA"/>
                </w:rPr>
                <w:t>https://srbank.ru/</w:t>
              </w:r>
            </w:hyperlink>
          </w:p>
        </w:tc>
      </w:tr>
    </w:tbl>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p>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 xml:space="preserve">              Таблица 1</w:t>
      </w:r>
    </w:p>
    <w:tbl>
      <w:tblPr>
        <w:tblStyle w:val="6"/>
        <w:tblW w:w="10348" w:type="dxa"/>
        <w:tblInd w:w="-921" w:type="dxa"/>
        <w:tblLook w:val="04A0" w:firstRow="1" w:lastRow="0" w:firstColumn="1" w:lastColumn="0" w:noHBand="0" w:noVBand="1"/>
      </w:tblPr>
      <w:tblGrid>
        <w:gridCol w:w="846"/>
        <w:gridCol w:w="3265"/>
        <w:gridCol w:w="6237"/>
      </w:tblGrid>
      <w:tr w:rsidR="00034C63" w:rsidRPr="00034C63" w:rsidTr="00674874">
        <w:tc>
          <w:tcPr>
            <w:tcW w:w="10348" w:type="dxa"/>
            <w:gridSpan w:val="3"/>
            <w:tcBorders>
              <w:top w:val="nil"/>
              <w:left w:val="nil"/>
              <w:bottom w:val="single" w:sz="4" w:space="0" w:color="auto"/>
              <w:right w:val="nil"/>
            </w:tcBorders>
          </w:tcPr>
          <w:p w:rsidR="00034C63" w:rsidRDefault="00034C63" w:rsidP="00034C63">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Табличная форма раскрытия информации об условиях обслуживания расчетных (дебетовых) карт</w:t>
            </w:r>
          </w:p>
          <w:p w:rsidR="00034C63" w:rsidRPr="00034C63" w:rsidRDefault="00034C63" w:rsidP="00034C63">
            <w:pPr>
              <w:autoSpaceDE w:val="0"/>
              <w:autoSpaceDN w:val="0"/>
              <w:adjustRightInd w:val="0"/>
              <w:spacing w:before="120"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(Корпоративных карт)</w:t>
            </w:r>
          </w:p>
        </w:tc>
      </w:tr>
      <w:tr w:rsidR="00034C63" w:rsidRPr="00034C63" w:rsidTr="00674874">
        <w:tc>
          <w:tcPr>
            <w:tcW w:w="846" w:type="dxa"/>
            <w:tcBorders>
              <w:top w:val="single" w:sz="4" w:space="0" w:color="auto"/>
              <w:bottom w:val="single" w:sz="4" w:space="0" w:color="auto"/>
            </w:tcBorders>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п/п</w:t>
            </w:r>
          </w:p>
        </w:tc>
        <w:tc>
          <w:tcPr>
            <w:tcW w:w="3265" w:type="dxa"/>
            <w:tcBorders>
              <w:top w:val="single" w:sz="4" w:space="0" w:color="auto"/>
              <w:bottom w:val="single" w:sz="4" w:space="0" w:color="auto"/>
            </w:tcBorders>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Условие</w:t>
            </w:r>
          </w:p>
        </w:tc>
        <w:tc>
          <w:tcPr>
            <w:tcW w:w="6237" w:type="dxa"/>
            <w:tcBorders>
              <w:top w:val="single" w:sz="4" w:space="0" w:color="auto"/>
              <w:bottom w:val="single" w:sz="4" w:space="0" w:color="auto"/>
            </w:tcBorders>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bookmarkStart w:id="0" w:name="Par48"/>
            <w:bookmarkEnd w:id="0"/>
            <w:r w:rsidRPr="00034C63">
              <w:rPr>
                <w:rFonts w:ascii="Times New Roman" w:eastAsia="Times New Roman" w:hAnsi="Times New Roman" w:cs="Times New Roman"/>
                <w:sz w:val="24"/>
                <w:szCs w:val="24"/>
                <w:lang w:eastAsia="ru-RU"/>
              </w:rPr>
              <w:t>Содержание условия</w:t>
            </w:r>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w:t>
            </w:r>
          </w:p>
        </w:tc>
        <w:tc>
          <w:tcPr>
            <w:tcW w:w="3265"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Наименование тарифа</w:t>
            </w:r>
          </w:p>
        </w:tc>
        <w:tc>
          <w:tcPr>
            <w:tcW w:w="6237" w:type="dxa"/>
            <w:vAlign w:val="center"/>
          </w:tcPr>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 xml:space="preserve">Корпоративный </w:t>
            </w:r>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w:t>
            </w:r>
          </w:p>
        </w:tc>
        <w:tc>
          <w:tcPr>
            <w:tcW w:w="3265"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Условия и стоимость предоставления </w:t>
            </w:r>
          </w:p>
        </w:tc>
        <w:tc>
          <w:tcPr>
            <w:tcW w:w="6237" w:type="dxa"/>
            <w:vAlign w:val="center"/>
          </w:tcPr>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Карта выпускается на физическом носителе</w:t>
            </w:r>
          </w:p>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Выпуск карты осуществляется без взимания вознаграждения в течение 10 (Десяти) рабочих дней.</w:t>
            </w:r>
          </w:p>
          <w:p w:rsidR="00034C63" w:rsidRPr="00034C63" w:rsidRDefault="00034C63" w:rsidP="007102C7">
            <w:pPr>
              <w:autoSpaceDE w:val="0"/>
              <w:autoSpaceDN w:val="0"/>
              <w:adjustRightInd w:val="0"/>
              <w:spacing w:before="120" w:after="120"/>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 xml:space="preserve">С Правилами можно ознакомиться </w:t>
            </w:r>
            <w:r w:rsidRPr="00034C63">
              <w:rPr>
                <w:rFonts w:ascii="Times New Roman" w:eastAsia="Times New Roman" w:hAnsi="Times New Roman" w:cs="Times New Roman"/>
                <w:sz w:val="24"/>
                <w:szCs w:val="24"/>
                <w:lang w:eastAsia="ru-RU"/>
              </w:rPr>
              <w:t>на официальном сайте Банка в сети Интернет в Разделе Корпоративным клиентам / РКО (</w:t>
            </w:r>
            <w:r w:rsidRPr="00034C63">
              <w:rPr>
                <w:rFonts w:ascii="Times New Roman" w:eastAsia="Times New Roman" w:hAnsi="Times New Roman" w:cs="Times New Roman"/>
                <w:color w:val="0000FF"/>
                <w:sz w:val="24"/>
                <w:szCs w:val="24"/>
                <w:u w:val="single"/>
                <w:lang w:eastAsia="ru-RU"/>
              </w:rPr>
              <w:t>https://srbank.ru/corporate/cash-service.html</w:t>
            </w:r>
            <w:r w:rsidRPr="00034C63">
              <w:rPr>
                <w:rFonts w:ascii="Times New Roman" w:eastAsia="Times New Roman" w:hAnsi="Times New Roman" w:cs="Times New Roman"/>
                <w:sz w:val="24"/>
                <w:szCs w:val="24"/>
                <w:lang w:eastAsia="ru-RU"/>
              </w:rPr>
              <w:t>)</w:t>
            </w:r>
          </w:p>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9"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w:t>
            </w:r>
          </w:p>
        </w:tc>
        <w:tc>
          <w:tcPr>
            <w:tcW w:w="3265"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Тип карты</w:t>
            </w:r>
            <w:r w:rsidRPr="00034C63">
              <w:rPr>
                <w:rFonts w:ascii="Times New Roman" w:eastAsia="Times New Roman" w:hAnsi="Times New Roman" w:cs="Times New Roman"/>
                <w:sz w:val="24"/>
                <w:szCs w:val="24"/>
                <w:vertAlign w:val="superscript"/>
                <w:lang w:eastAsia="ru-RU"/>
              </w:rPr>
              <w:footnoteReference w:id="1"/>
            </w:r>
          </w:p>
        </w:tc>
        <w:tc>
          <w:tcPr>
            <w:tcW w:w="6237"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ПС МИР, расчетная (дебетовая) карта</w:t>
            </w:r>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4</w:t>
            </w:r>
          </w:p>
        </w:tc>
        <w:tc>
          <w:tcPr>
            <w:tcW w:w="3265"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val="en-US" w:eastAsia="ru-RU"/>
              </w:rPr>
            </w:pPr>
            <w:r w:rsidRPr="00034C63">
              <w:rPr>
                <w:rFonts w:ascii="Times New Roman" w:eastAsia="Times New Roman" w:hAnsi="Times New Roman" w:cs="Times New Roman"/>
                <w:sz w:val="24"/>
                <w:szCs w:val="24"/>
                <w:lang w:eastAsia="ru-RU"/>
              </w:rPr>
              <w:t>Валюта счета карты</w:t>
            </w:r>
          </w:p>
        </w:tc>
        <w:tc>
          <w:tcPr>
            <w:tcW w:w="6237"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val="en-US" w:eastAsia="ru-RU"/>
              </w:rPr>
              <w:t>RUR</w:t>
            </w:r>
            <w:r w:rsidRPr="00034C63">
              <w:rPr>
                <w:rFonts w:ascii="Times New Roman" w:eastAsia="Times New Roman" w:hAnsi="Times New Roman" w:cs="Times New Roman"/>
                <w:sz w:val="24"/>
                <w:szCs w:val="24"/>
                <w:lang w:eastAsia="ru-RU"/>
              </w:rPr>
              <w:t xml:space="preserve"> </w:t>
            </w:r>
          </w:p>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доступ с использованием карты к одному счету </w:t>
            </w:r>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5</w:t>
            </w:r>
          </w:p>
        </w:tc>
        <w:tc>
          <w:tcPr>
            <w:tcW w:w="3265" w:type="dxa"/>
            <w:vAlign w:val="center"/>
          </w:tcPr>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4"/>
                <w:sz w:val="24"/>
                <w:szCs w:val="24"/>
                <w:lang w:eastAsia="ru-RU"/>
              </w:rPr>
            </w:pPr>
            <w:r w:rsidRPr="00034C63">
              <w:rPr>
                <w:rFonts w:ascii="Times New Roman" w:eastAsia="Times New Roman" w:hAnsi="Times New Roman" w:cs="Times New Roman"/>
                <w:spacing w:val="-4"/>
                <w:sz w:val="24"/>
                <w:szCs w:val="24"/>
                <w:lang w:eastAsia="ru-RU"/>
              </w:rPr>
              <w:t>Направление уведомлений потребителю об операциях с использованием карты</w:t>
            </w:r>
          </w:p>
        </w:tc>
        <w:tc>
          <w:tcPr>
            <w:tcW w:w="6237" w:type="dxa"/>
            <w:vAlign w:val="center"/>
          </w:tcPr>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4"/>
                <w:sz w:val="24"/>
                <w:szCs w:val="24"/>
                <w:lang w:eastAsia="ru-RU"/>
              </w:rPr>
            </w:pPr>
            <w:r w:rsidRPr="00034C63">
              <w:rPr>
                <w:rFonts w:ascii="Times New Roman" w:eastAsia="Times New Roman" w:hAnsi="Times New Roman" w:cs="Times New Roman"/>
                <w:spacing w:val="-4"/>
                <w:sz w:val="24"/>
                <w:szCs w:val="24"/>
                <w:lang w:eastAsia="ru-RU"/>
              </w:rPr>
              <w:t>1. СМС-уведомления – в режиме реального времени, без взимания комиссии</w:t>
            </w:r>
          </w:p>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pacing w:val="-4"/>
                <w:sz w:val="24"/>
                <w:szCs w:val="24"/>
                <w:lang w:eastAsia="ru-RU"/>
              </w:rPr>
            </w:pPr>
            <w:r w:rsidRPr="00034C63">
              <w:rPr>
                <w:rFonts w:ascii="Times New Roman" w:eastAsia="Times New Roman" w:hAnsi="Times New Roman" w:cs="Times New Roman"/>
                <w:spacing w:val="-4"/>
                <w:sz w:val="24"/>
                <w:szCs w:val="24"/>
                <w:lang w:eastAsia="ru-RU"/>
              </w:rPr>
              <w:t xml:space="preserve">2. Получение выписки – в офисе Банка при личном обращении на бумажном носителе, без взимания комиссии. </w:t>
            </w:r>
            <w:r w:rsidRPr="00034C63">
              <w:rPr>
                <w:rFonts w:ascii="Times New Roman" w:eastAsia="Times New Roman" w:hAnsi="Times New Roman" w:cs="Times New Roman"/>
                <w:sz w:val="24"/>
                <w:szCs w:val="24"/>
                <w:lang w:eastAsia="ru-RU"/>
              </w:rPr>
              <w:t>Обязанность Банка считается исполненной с момента формирования Банком выписки.</w:t>
            </w:r>
          </w:p>
        </w:tc>
      </w:tr>
    </w:tbl>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p>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Таблица 2</w:t>
      </w:r>
    </w:p>
    <w:tbl>
      <w:tblPr>
        <w:tblStyle w:val="6"/>
        <w:tblW w:w="9356" w:type="dxa"/>
        <w:tblLayout w:type="fixed"/>
        <w:tblLook w:val="04A0" w:firstRow="1" w:lastRow="0" w:firstColumn="1" w:lastColumn="0" w:noHBand="0" w:noVBand="1"/>
      </w:tblPr>
      <w:tblGrid>
        <w:gridCol w:w="846"/>
        <w:gridCol w:w="3265"/>
        <w:gridCol w:w="5245"/>
      </w:tblGrid>
      <w:tr w:rsidR="00034C63" w:rsidRPr="00034C63" w:rsidTr="00674874">
        <w:tc>
          <w:tcPr>
            <w:tcW w:w="9356" w:type="dxa"/>
            <w:gridSpan w:val="3"/>
            <w:tcBorders>
              <w:top w:val="nil"/>
              <w:left w:val="nil"/>
              <w:bottom w:val="single" w:sz="4" w:space="0" w:color="auto"/>
              <w:right w:val="nil"/>
            </w:tcBorders>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Комиссии и иные платежи</w:t>
            </w:r>
            <w:r w:rsidRPr="00034C63">
              <w:rPr>
                <w:rFonts w:ascii="Times New Roman" w:eastAsia="Times New Roman" w:hAnsi="Times New Roman" w:cs="Times New Roman"/>
                <w:sz w:val="24"/>
                <w:szCs w:val="24"/>
                <w:vertAlign w:val="superscript"/>
                <w:lang w:eastAsia="ru-RU"/>
              </w:rPr>
              <w:footnoteReference w:id="2"/>
            </w:r>
          </w:p>
        </w:tc>
      </w:tr>
      <w:tr w:rsidR="00034C63" w:rsidRPr="00034C63" w:rsidTr="00674874">
        <w:tc>
          <w:tcPr>
            <w:tcW w:w="846" w:type="dxa"/>
            <w:tcBorders>
              <w:top w:val="single" w:sz="4" w:space="0" w:color="auto"/>
              <w:left w:val="single" w:sz="4" w:space="0" w:color="auto"/>
              <w:bottom w:val="single" w:sz="4" w:space="0" w:color="auto"/>
              <w:right w:val="single" w:sz="4" w:space="0" w:color="auto"/>
            </w:tcBorders>
          </w:tcPr>
          <w:p w:rsidR="00034C63" w:rsidRPr="00034C63" w:rsidRDefault="00034C63" w:rsidP="007102C7">
            <w:pPr>
              <w:autoSpaceDE w:val="0"/>
              <w:autoSpaceDN w:val="0"/>
              <w:adjustRightInd w:val="0"/>
              <w:spacing w:before="60" w:after="6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п/п</w:t>
            </w:r>
          </w:p>
        </w:tc>
        <w:tc>
          <w:tcPr>
            <w:tcW w:w="3265" w:type="dxa"/>
            <w:tcBorders>
              <w:top w:val="single" w:sz="4" w:space="0" w:color="auto"/>
              <w:left w:val="single" w:sz="4" w:space="0" w:color="auto"/>
              <w:bottom w:val="single" w:sz="4" w:space="0" w:color="auto"/>
              <w:right w:val="single" w:sz="4" w:space="0" w:color="auto"/>
            </w:tcBorders>
          </w:tcPr>
          <w:p w:rsidR="00034C63" w:rsidRPr="00034C63" w:rsidRDefault="00034C63" w:rsidP="007102C7">
            <w:pPr>
              <w:autoSpaceDE w:val="0"/>
              <w:autoSpaceDN w:val="0"/>
              <w:adjustRightInd w:val="0"/>
              <w:spacing w:before="60" w:after="6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Наименование услуги</w:t>
            </w:r>
          </w:p>
        </w:tc>
        <w:tc>
          <w:tcPr>
            <w:tcW w:w="5245" w:type="dxa"/>
            <w:tcBorders>
              <w:top w:val="single" w:sz="4" w:space="0" w:color="auto"/>
              <w:left w:val="single" w:sz="4" w:space="0" w:color="auto"/>
              <w:bottom w:val="single" w:sz="4" w:space="0" w:color="auto"/>
              <w:right w:val="single" w:sz="4" w:space="0" w:color="auto"/>
            </w:tcBorders>
          </w:tcPr>
          <w:p w:rsidR="00034C63" w:rsidRPr="00034C63" w:rsidRDefault="00034C63" w:rsidP="007102C7">
            <w:pPr>
              <w:autoSpaceDE w:val="0"/>
              <w:autoSpaceDN w:val="0"/>
              <w:adjustRightInd w:val="0"/>
              <w:spacing w:before="60" w:after="6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pacing w:val="-8"/>
                <w:sz w:val="24"/>
                <w:szCs w:val="24"/>
                <w:lang w:eastAsia="ru-RU"/>
              </w:rPr>
              <w:t>Тарификация и условия предоставления услуги</w:t>
            </w:r>
          </w:p>
        </w:tc>
      </w:tr>
      <w:tr w:rsidR="00034C63" w:rsidRPr="00034C63" w:rsidTr="00674874">
        <w:tc>
          <w:tcPr>
            <w:tcW w:w="9356" w:type="dxa"/>
            <w:gridSpan w:val="3"/>
            <w:tcBorders>
              <w:top w:val="single" w:sz="4" w:space="0" w:color="auto"/>
            </w:tcBorders>
            <w:vAlign w:val="center"/>
          </w:tcPr>
          <w:p w:rsidR="00034C63" w:rsidRPr="00034C63" w:rsidRDefault="00034C63" w:rsidP="007102C7">
            <w:pPr>
              <w:autoSpaceDE w:val="0"/>
              <w:autoSpaceDN w:val="0"/>
              <w:adjustRightInd w:val="0"/>
              <w:spacing w:before="60" w:after="60"/>
              <w:ind w:left="7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 Выпуск (эмиссия) и обслуживание карты</w:t>
            </w:r>
          </w:p>
        </w:tc>
      </w:tr>
      <w:tr w:rsidR="00034C63" w:rsidRPr="00034C63" w:rsidTr="00674874">
        <w:tc>
          <w:tcPr>
            <w:tcW w:w="846" w:type="dxa"/>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1.1</w:t>
            </w:r>
          </w:p>
        </w:tc>
        <w:tc>
          <w:tcPr>
            <w:tcW w:w="326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Выпуск (эмиссия) основной карты </w:t>
            </w:r>
          </w:p>
        </w:tc>
        <w:tc>
          <w:tcPr>
            <w:tcW w:w="5245" w:type="dxa"/>
            <w:vAlign w:val="center"/>
          </w:tcPr>
          <w:p w:rsidR="00034C63" w:rsidRPr="00034C63" w:rsidRDefault="00034C63" w:rsidP="007102C7">
            <w:pPr>
              <w:autoSpaceDE w:val="0"/>
              <w:autoSpaceDN w:val="0"/>
              <w:adjustRightInd w:val="0"/>
              <w:spacing w:before="120" w:after="12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Да, без взимания комиссии, при личном обращении в Банк </w:t>
            </w:r>
          </w:p>
          <w:p w:rsidR="00034C63" w:rsidRPr="00034C63" w:rsidRDefault="00034C63" w:rsidP="007102C7">
            <w:pPr>
              <w:autoSpaceDE w:val="0"/>
              <w:autoSpaceDN w:val="0"/>
              <w:adjustRightInd w:val="0"/>
              <w:spacing w:before="120" w:after="12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0" w:history="1">
              <w:r w:rsidRPr="00034C63">
                <w:rPr>
                  <w:rFonts w:ascii="Times New Roman" w:eastAsia="Times New Roman" w:hAnsi="Times New Roman" w:cs="Times New Roman"/>
                  <w:color w:val="0000FF"/>
                  <w:sz w:val="24"/>
                  <w:szCs w:val="24"/>
                  <w:u w:val="single"/>
                  <w:lang w:eastAsia="ru-RU"/>
                </w:rPr>
                <w:t>https://srbank.ru/about/tariffs1.html</w:t>
              </w:r>
            </w:hyperlink>
            <w:r w:rsidRPr="00034C63">
              <w:rPr>
                <w:rFonts w:ascii="Times New Roman" w:eastAsia="Times New Roman" w:hAnsi="Times New Roman" w:cs="Times New Roman"/>
                <w:sz w:val="24"/>
                <w:szCs w:val="24"/>
                <w:lang w:eastAsia="ru-RU"/>
              </w:rPr>
              <w:t xml:space="preserve"> </w:t>
            </w:r>
          </w:p>
        </w:tc>
      </w:tr>
      <w:tr w:rsidR="00034C63" w:rsidRPr="00034C63" w:rsidTr="00674874">
        <w:tc>
          <w:tcPr>
            <w:tcW w:w="846" w:type="dxa"/>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1.2</w:t>
            </w:r>
          </w:p>
        </w:tc>
        <w:tc>
          <w:tcPr>
            <w:tcW w:w="326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Выпуск (эмиссия) дополнительной карты (в случае наличия возможности ее выпуска на имя держателя основной карты </w:t>
            </w:r>
            <w:r w:rsidRPr="00034C63">
              <w:rPr>
                <w:rFonts w:ascii="Times New Roman" w:eastAsia="Times New Roman" w:hAnsi="Times New Roman" w:cs="Times New Roman"/>
                <w:sz w:val="24"/>
                <w:szCs w:val="24"/>
                <w:lang w:eastAsia="ru-RU"/>
              </w:rPr>
              <w:br/>
              <w:t xml:space="preserve">и (или) на третье лицо) </w:t>
            </w:r>
          </w:p>
        </w:tc>
        <w:tc>
          <w:tcPr>
            <w:tcW w:w="5245" w:type="dxa"/>
            <w:vAlign w:val="center"/>
          </w:tcPr>
          <w:p w:rsidR="00034C63" w:rsidRPr="00034C63" w:rsidRDefault="00034C63" w:rsidP="007102C7">
            <w:pPr>
              <w:autoSpaceDE w:val="0"/>
              <w:autoSpaceDN w:val="0"/>
              <w:adjustRightInd w:val="0"/>
              <w:spacing w:before="80" w:after="80" w:line="228" w:lineRule="auto"/>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Да, без взимания комиссии, при личном обращении в Банк </w:t>
            </w:r>
          </w:p>
          <w:p w:rsidR="00034C63" w:rsidRPr="00034C63" w:rsidRDefault="00034C63" w:rsidP="007102C7">
            <w:pPr>
              <w:autoSpaceDE w:val="0"/>
              <w:autoSpaceDN w:val="0"/>
              <w:adjustRightInd w:val="0"/>
              <w:spacing w:before="80" w:after="80" w:line="228" w:lineRule="auto"/>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1"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c>
          <w:tcPr>
            <w:tcW w:w="846" w:type="dxa"/>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1.3</w:t>
            </w:r>
          </w:p>
        </w:tc>
        <w:tc>
          <w:tcPr>
            <w:tcW w:w="326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Оформление новой карты взамен выпущенной ранее (</w:t>
            </w:r>
            <w:proofErr w:type="spellStart"/>
            <w:r w:rsidRPr="00034C63">
              <w:rPr>
                <w:rFonts w:ascii="Times New Roman" w:eastAsia="Times New Roman" w:hAnsi="Times New Roman" w:cs="Times New Roman"/>
                <w:sz w:val="24"/>
                <w:szCs w:val="24"/>
                <w:lang w:eastAsia="ru-RU"/>
              </w:rPr>
              <w:t>перевыпуск</w:t>
            </w:r>
            <w:proofErr w:type="spellEnd"/>
            <w:r w:rsidRPr="00034C63">
              <w:rPr>
                <w:rFonts w:ascii="Times New Roman" w:eastAsia="Times New Roman" w:hAnsi="Times New Roman" w:cs="Times New Roman"/>
                <w:sz w:val="24"/>
                <w:szCs w:val="24"/>
                <w:lang w:eastAsia="ru-RU"/>
              </w:rPr>
              <w:t>)</w:t>
            </w:r>
          </w:p>
        </w:tc>
        <w:tc>
          <w:tcPr>
            <w:tcW w:w="524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Да, без взимания комиссии, при личном обращении в Банк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2"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c>
          <w:tcPr>
            <w:tcW w:w="846" w:type="dxa"/>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1.4</w:t>
            </w:r>
          </w:p>
        </w:tc>
        <w:tc>
          <w:tcPr>
            <w:tcW w:w="326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Обслуживание карты (открытие и обслуживание счета)</w:t>
            </w:r>
          </w:p>
        </w:tc>
        <w:tc>
          <w:tcPr>
            <w:tcW w:w="524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Да, без взимания комиссии, при личном обращении в Банк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3"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rPr>
          <w:trHeight w:val="454"/>
        </w:trPr>
        <w:tc>
          <w:tcPr>
            <w:tcW w:w="9356" w:type="dxa"/>
            <w:gridSpan w:val="3"/>
            <w:vAlign w:val="center"/>
          </w:tcPr>
          <w:p w:rsidR="00034C63" w:rsidRPr="00034C63" w:rsidRDefault="00034C63" w:rsidP="007102C7">
            <w:pPr>
              <w:autoSpaceDE w:val="0"/>
              <w:autoSpaceDN w:val="0"/>
              <w:adjustRightInd w:val="0"/>
              <w:spacing w:before="60" w:after="60"/>
              <w:ind w:left="2160"/>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2. Снятие наличных денежных средств</w:t>
            </w:r>
          </w:p>
        </w:tc>
      </w:tr>
      <w:tr w:rsidR="00034C63" w:rsidRPr="00034C63" w:rsidTr="00674874">
        <w:trPr>
          <w:trHeight w:val="397"/>
        </w:trPr>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2.1</w:t>
            </w:r>
          </w:p>
        </w:tc>
        <w:tc>
          <w:tcPr>
            <w:tcW w:w="8510" w:type="dxa"/>
            <w:gridSpan w:val="2"/>
            <w:vAlign w:val="center"/>
          </w:tcPr>
          <w:p w:rsidR="00034C63" w:rsidRPr="00034C63" w:rsidRDefault="00034C63" w:rsidP="007102C7">
            <w:pPr>
              <w:autoSpaceDE w:val="0"/>
              <w:autoSpaceDN w:val="0"/>
              <w:adjustRightInd w:val="0"/>
              <w:spacing w:before="60" w:after="6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инфраструктуре КО</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2.1.1</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   в банкоматах КО</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2.1.2</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pacing w:val="-8"/>
                <w:sz w:val="24"/>
                <w:szCs w:val="24"/>
                <w:lang w:eastAsia="ru-RU"/>
              </w:rPr>
            </w:pPr>
            <w:r w:rsidRPr="00034C63">
              <w:rPr>
                <w:rFonts w:ascii="Times New Roman" w:eastAsia="Times New Roman" w:hAnsi="Times New Roman" w:cs="Times New Roman"/>
                <w:sz w:val="24"/>
                <w:szCs w:val="24"/>
                <w:lang w:eastAsia="ru-RU"/>
              </w:rPr>
              <w:t xml:space="preserve">   </w:t>
            </w:r>
            <w:r w:rsidRPr="00034C63">
              <w:rPr>
                <w:rFonts w:ascii="Times New Roman" w:eastAsia="Times New Roman" w:hAnsi="Times New Roman" w:cs="Times New Roman"/>
                <w:spacing w:val="-8"/>
                <w:sz w:val="24"/>
                <w:szCs w:val="24"/>
                <w:lang w:eastAsia="ru-RU"/>
              </w:rPr>
              <w:t>в пункте выдачи наличных (далее </w:t>
            </w:r>
            <w:r w:rsidRPr="00034C63">
              <w:rPr>
                <w:rFonts w:ascii="Times New Roman" w:eastAsia="Times New Roman" w:hAnsi="Times New Roman" w:cs="Times New Roman"/>
                <w:sz w:val="24"/>
                <w:szCs w:val="24"/>
                <w:lang w:eastAsia="ru-RU"/>
              </w:rPr>
              <w:t>–</w:t>
            </w:r>
            <w:r w:rsidRPr="00034C63">
              <w:rPr>
                <w:rFonts w:ascii="Times New Roman" w:eastAsia="Times New Roman" w:hAnsi="Times New Roman" w:cs="Times New Roman"/>
                <w:spacing w:val="-8"/>
                <w:sz w:val="24"/>
                <w:szCs w:val="24"/>
                <w:lang w:eastAsia="ru-RU"/>
              </w:rPr>
              <w:t xml:space="preserve"> ПВН) КО</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2.1.3.</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кассах Банка</w:t>
            </w:r>
          </w:p>
        </w:tc>
        <w:tc>
          <w:tcPr>
            <w:tcW w:w="524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spacing w:before="120"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br w:type="page"/>
              <w:t>2.2</w:t>
            </w:r>
          </w:p>
        </w:tc>
        <w:tc>
          <w:tcPr>
            <w:tcW w:w="8510" w:type="dxa"/>
            <w:gridSpan w:val="2"/>
            <w:vAlign w:val="center"/>
          </w:tcPr>
          <w:p w:rsidR="00034C63" w:rsidRPr="00034C63" w:rsidRDefault="00034C63" w:rsidP="007102C7">
            <w:pPr>
              <w:autoSpaceDE w:val="0"/>
              <w:autoSpaceDN w:val="0"/>
              <w:adjustRightInd w:val="0"/>
              <w:spacing w:before="100" w:after="10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2"/>
                <w:sz w:val="24"/>
                <w:szCs w:val="24"/>
                <w:lang w:eastAsia="ru-RU"/>
              </w:rPr>
              <w:t>В инфраструктуре других КО</w:t>
            </w:r>
          </w:p>
        </w:tc>
      </w:tr>
      <w:tr w:rsidR="00034C63" w:rsidRPr="00034C63" w:rsidTr="00674874">
        <w:trPr>
          <w:trHeight w:val="4415"/>
        </w:trPr>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2.2.1</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pacing w:val="-2"/>
                <w:sz w:val="24"/>
                <w:szCs w:val="24"/>
                <w:lang w:eastAsia="ru-RU"/>
              </w:rPr>
            </w:pPr>
            <w:r w:rsidRPr="00034C63">
              <w:rPr>
                <w:rFonts w:ascii="Times New Roman" w:eastAsia="Times New Roman" w:hAnsi="Times New Roman" w:cs="Times New Roman"/>
                <w:sz w:val="24"/>
                <w:szCs w:val="24"/>
                <w:lang w:eastAsia="ru-RU"/>
              </w:rPr>
              <w:t xml:space="preserve">   </w:t>
            </w:r>
            <w:r w:rsidRPr="00034C63">
              <w:rPr>
                <w:rFonts w:ascii="Times New Roman" w:eastAsia="Times New Roman" w:hAnsi="Times New Roman" w:cs="Times New Roman"/>
                <w:spacing w:val="-2"/>
                <w:sz w:val="24"/>
                <w:szCs w:val="24"/>
                <w:lang w:eastAsia="ru-RU"/>
              </w:rPr>
              <w:t>в банкоматах других КО</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Комиссия и лимиты операции могут быть установлены другой КО.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Комиссии Банка не предусмотрены.</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4" w:history="1">
              <w:r w:rsidRPr="00034C63">
                <w:rPr>
                  <w:rFonts w:ascii="Times New Roman" w:eastAsia="Times New Roman" w:hAnsi="Times New Roman" w:cs="Times New Roman"/>
                  <w:color w:val="0000FF"/>
                  <w:sz w:val="24"/>
                  <w:szCs w:val="24"/>
                  <w:u w:val="single"/>
                  <w:lang w:eastAsia="ru-RU"/>
                </w:rPr>
                <w:t>https://srbank.ru/about/tariffs1.html</w:t>
              </w:r>
            </w:hyperlink>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одной операции по снятию наличных – 100 000 (Сто тысяч) рублей. Дневные и месячные лимиты по снятию наличных приведены ниже:</w:t>
            </w:r>
          </w:p>
          <w:tbl>
            <w:tblPr>
              <w:tblStyle w:val="6"/>
              <w:tblW w:w="0" w:type="auto"/>
              <w:tblLayout w:type="fixed"/>
              <w:tblLook w:val="04A0" w:firstRow="1" w:lastRow="0" w:firstColumn="1" w:lastColumn="0" w:noHBand="0" w:noVBand="1"/>
            </w:tblPr>
            <w:tblGrid>
              <w:gridCol w:w="2155"/>
              <w:gridCol w:w="1701"/>
              <w:gridCol w:w="1843"/>
            </w:tblGrid>
            <w:tr w:rsidR="00034C63" w:rsidRPr="00034C63" w:rsidTr="00674874">
              <w:tc>
                <w:tcPr>
                  <w:tcW w:w="2155" w:type="dxa"/>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по снятию наличных</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Количество операций, шт.</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Сумма операций, руб.</w:t>
                  </w:r>
                </w:p>
              </w:tc>
            </w:tr>
            <w:tr w:rsidR="00034C63" w:rsidRPr="00034C63" w:rsidTr="00674874">
              <w:tc>
                <w:tcPr>
                  <w:tcW w:w="2155" w:type="dxa"/>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дня</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15</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100 000</w:t>
                  </w:r>
                </w:p>
              </w:tc>
            </w:tr>
            <w:tr w:rsidR="00034C63" w:rsidRPr="00034C63" w:rsidTr="00674874">
              <w:tc>
                <w:tcPr>
                  <w:tcW w:w="2155" w:type="dxa"/>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месяца</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100</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300 000</w:t>
                  </w:r>
                </w:p>
              </w:tc>
            </w:tr>
          </w:tbl>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2.2.2</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   в ПВН других КО</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Да, без взимания комиссии Банком Комиссия и лимиты операции могут быть установлены другой КО (банком-</w:t>
            </w:r>
            <w:proofErr w:type="spellStart"/>
            <w:r w:rsidRPr="00034C63">
              <w:rPr>
                <w:rFonts w:ascii="Times New Roman" w:eastAsia="Times New Roman" w:hAnsi="Times New Roman" w:cs="Times New Roman"/>
                <w:sz w:val="24"/>
                <w:szCs w:val="24"/>
                <w:lang w:eastAsia="ru-RU"/>
              </w:rPr>
              <w:t>эквайером</w:t>
            </w:r>
            <w:proofErr w:type="spellEnd"/>
            <w:r w:rsidRPr="00034C63">
              <w:rPr>
                <w:rFonts w:ascii="Times New Roman" w:eastAsia="Times New Roman" w:hAnsi="Times New Roman" w:cs="Times New Roman"/>
                <w:sz w:val="24"/>
                <w:szCs w:val="24"/>
                <w:lang w:eastAsia="ru-RU"/>
              </w:rPr>
              <w:t>).</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5" w:history="1">
              <w:r w:rsidRPr="00034C63">
                <w:rPr>
                  <w:rFonts w:ascii="Times New Roman" w:eastAsia="Times New Roman" w:hAnsi="Times New Roman" w:cs="Times New Roman"/>
                  <w:color w:val="0000FF"/>
                  <w:sz w:val="24"/>
                  <w:szCs w:val="24"/>
                  <w:u w:val="single"/>
                  <w:lang w:eastAsia="ru-RU"/>
                </w:rPr>
                <w:t>https://srbank.ru/about/tariffs1.html</w:t>
              </w:r>
            </w:hyperlink>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одной операции по снятию наличных – 100 000 (Сто тысяч) рублей. Дневные и месячные лимиты по снятию наличных приведены ниже:</w:t>
            </w:r>
          </w:p>
          <w:tbl>
            <w:tblPr>
              <w:tblStyle w:val="6"/>
              <w:tblW w:w="5699" w:type="dxa"/>
              <w:tblLayout w:type="fixed"/>
              <w:tblLook w:val="04A0" w:firstRow="1" w:lastRow="0" w:firstColumn="1" w:lastColumn="0" w:noHBand="0" w:noVBand="1"/>
            </w:tblPr>
            <w:tblGrid>
              <w:gridCol w:w="2155"/>
              <w:gridCol w:w="1701"/>
              <w:gridCol w:w="1843"/>
            </w:tblGrid>
            <w:tr w:rsidR="00034C63" w:rsidRPr="00034C63" w:rsidTr="00674874">
              <w:tc>
                <w:tcPr>
                  <w:tcW w:w="2155"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по снятию наличных</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Количество операций, шт.</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Сумма операций, руб.</w:t>
                  </w:r>
                </w:p>
              </w:tc>
            </w:tr>
            <w:tr w:rsidR="00034C63" w:rsidRPr="00034C63" w:rsidTr="00674874">
              <w:tc>
                <w:tcPr>
                  <w:tcW w:w="2155"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дня</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15</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100 000</w:t>
                  </w:r>
                </w:p>
              </w:tc>
            </w:tr>
            <w:tr w:rsidR="00034C63" w:rsidRPr="00034C63" w:rsidTr="00674874">
              <w:tc>
                <w:tcPr>
                  <w:tcW w:w="2155"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месяца</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100</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300 000</w:t>
                  </w:r>
                </w:p>
              </w:tc>
            </w:tr>
          </w:tbl>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6"/>
                <w:sz w:val="24"/>
                <w:szCs w:val="24"/>
                <w:lang w:eastAsia="ru-RU"/>
              </w:rPr>
            </w:pPr>
          </w:p>
        </w:tc>
      </w:tr>
      <w:tr w:rsidR="00034C63" w:rsidRPr="00034C63" w:rsidTr="00674874">
        <w:tc>
          <w:tcPr>
            <w:tcW w:w="9356" w:type="dxa"/>
            <w:gridSpan w:val="3"/>
          </w:tcPr>
          <w:p w:rsidR="00034C63" w:rsidRPr="00034C63" w:rsidRDefault="00034C63" w:rsidP="007102C7">
            <w:pPr>
              <w:suppressAutoHyphens/>
              <w:spacing w:before="100" w:after="10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3. Внесение наличных денежных средств</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3.1</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инфраструктуре КО:</w:t>
            </w:r>
          </w:p>
          <w:p w:rsidR="00034C63" w:rsidRPr="00034C63" w:rsidRDefault="00034C63" w:rsidP="007102C7">
            <w:pPr>
              <w:autoSpaceDE w:val="0"/>
              <w:autoSpaceDN w:val="0"/>
              <w:adjustRightInd w:val="0"/>
              <w:jc w:val="both"/>
              <w:rPr>
                <w:rFonts w:ascii="Times New Roman" w:eastAsia="Times New Roman" w:hAnsi="Times New Roman" w:cs="Times New Roman"/>
                <w:b/>
                <w:sz w:val="24"/>
                <w:szCs w:val="24"/>
                <w:lang w:eastAsia="ru-RU"/>
              </w:rPr>
            </w:pPr>
            <w:r w:rsidRPr="00034C63">
              <w:rPr>
                <w:rFonts w:ascii="Times New Roman" w:eastAsia="Times New Roman" w:hAnsi="Times New Roman" w:cs="Times New Roman"/>
                <w:sz w:val="24"/>
                <w:szCs w:val="24"/>
                <w:lang w:eastAsia="ru-RU"/>
              </w:rPr>
              <w:t>в кассах Банка</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3.2</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инфраструктуре других КО</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9356" w:type="dxa"/>
            <w:gridSpan w:val="3"/>
          </w:tcPr>
          <w:p w:rsidR="00034C63" w:rsidRPr="00034C63" w:rsidRDefault="00034C63" w:rsidP="007102C7">
            <w:pPr>
              <w:suppressAutoHyphens/>
              <w:spacing w:before="10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 xml:space="preserve">4. Перевод денежных средств с использованием реквизитов карты </w:t>
            </w:r>
          </w:p>
          <w:p w:rsidR="00034C63" w:rsidRPr="00034C63" w:rsidRDefault="00034C63" w:rsidP="007102C7">
            <w:pPr>
              <w:suppressAutoHyphens/>
              <w:spacing w:after="10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(перевод с карты на карту)</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4.1</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Внутрибанковский перевод</w:t>
            </w:r>
          </w:p>
        </w:tc>
        <w:tc>
          <w:tcPr>
            <w:tcW w:w="5245" w:type="dxa"/>
            <w:vAlign w:val="center"/>
          </w:tcPr>
          <w:p w:rsidR="00034C63" w:rsidRPr="00034C63" w:rsidRDefault="00034C63" w:rsidP="007102C7">
            <w:pPr>
              <w:autoSpaceDE w:val="0"/>
              <w:autoSpaceDN w:val="0"/>
              <w:adjustRightInd w:val="0"/>
              <w:spacing w:before="60" w:after="6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4.2</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Перевод в другую КО</w:t>
            </w:r>
          </w:p>
        </w:tc>
        <w:tc>
          <w:tcPr>
            <w:tcW w:w="5245" w:type="dxa"/>
            <w:vAlign w:val="center"/>
          </w:tcPr>
          <w:p w:rsidR="00034C63" w:rsidRPr="00034C63" w:rsidRDefault="00034C63" w:rsidP="007102C7">
            <w:pPr>
              <w:autoSpaceDE w:val="0"/>
              <w:autoSpaceDN w:val="0"/>
              <w:adjustRightInd w:val="0"/>
              <w:spacing w:before="60" w:after="6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Да, без взимания комиссии</w:t>
            </w:r>
          </w:p>
          <w:p w:rsidR="00034C63" w:rsidRPr="00034C63" w:rsidRDefault="00034C63" w:rsidP="007102C7">
            <w:pPr>
              <w:autoSpaceDE w:val="0"/>
              <w:autoSpaceDN w:val="0"/>
              <w:adjustRightInd w:val="0"/>
              <w:spacing w:before="60" w:after="6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6"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c>
          <w:tcPr>
            <w:tcW w:w="846" w:type="dxa"/>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4.3</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Перевод с карты другой КО</w:t>
            </w:r>
          </w:p>
        </w:tc>
        <w:tc>
          <w:tcPr>
            <w:tcW w:w="5245" w:type="dxa"/>
            <w:vAlign w:val="center"/>
          </w:tcPr>
          <w:p w:rsidR="00034C63" w:rsidRPr="00034C63" w:rsidRDefault="00034C63" w:rsidP="007102C7">
            <w:pPr>
              <w:autoSpaceDE w:val="0"/>
              <w:autoSpaceDN w:val="0"/>
              <w:adjustRightInd w:val="0"/>
              <w:spacing w:before="60" w:after="6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Да, без взимания комиссии</w:t>
            </w:r>
          </w:p>
          <w:p w:rsidR="00034C63" w:rsidRPr="00034C63" w:rsidRDefault="00034C63" w:rsidP="007102C7">
            <w:pPr>
              <w:autoSpaceDE w:val="0"/>
              <w:autoSpaceDN w:val="0"/>
              <w:adjustRightInd w:val="0"/>
              <w:spacing w:before="60" w:after="6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7" w:history="1">
              <w:r w:rsidRPr="00034C63">
                <w:rPr>
                  <w:rFonts w:ascii="Times New Roman" w:eastAsia="Times New Roman" w:hAnsi="Times New Roman" w:cs="Times New Roman"/>
                  <w:color w:val="0000FF"/>
                  <w:sz w:val="24"/>
                  <w:szCs w:val="24"/>
                  <w:u w:val="single"/>
                  <w:lang w:eastAsia="ru-RU"/>
                </w:rPr>
                <w:t>https://srbank.ru/about/tariffs1.html</w:t>
              </w:r>
            </w:hyperlink>
          </w:p>
        </w:tc>
      </w:tr>
      <w:tr w:rsidR="00034C63" w:rsidRPr="00034C63" w:rsidTr="00674874">
        <w:tc>
          <w:tcPr>
            <w:tcW w:w="9356" w:type="dxa"/>
            <w:gridSpan w:val="3"/>
          </w:tcPr>
          <w:p w:rsidR="00034C63" w:rsidRPr="00034C63" w:rsidRDefault="00034C63" w:rsidP="007102C7">
            <w:pPr>
              <w:suppressAutoHyphens/>
              <w:spacing w:before="120" w:after="12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br w:type="page"/>
              <w:t>5. Комиссии и платежи за прочие услуги</w:t>
            </w:r>
            <w:r w:rsidRPr="00034C63">
              <w:rPr>
                <w:rFonts w:ascii="Times New Roman" w:eastAsia="Times New Roman" w:hAnsi="Times New Roman" w:cs="Times New Roman"/>
                <w:sz w:val="20"/>
                <w:szCs w:val="24"/>
                <w:vertAlign w:val="superscript"/>
                <w:lang w:eastAsia="ar-SA"/>
              </w:rPr>
              <w:footnoteReference w:id="3"/>
            </w:r>
          </w:p>
        </w:tc>
      </w:tr>
      <w:tr w:rsidR="00034C63" w:rsidRPr="00034C63" w:rsidTr="00674874">
        <w:tc>
          <w:tcPr>
            <w:tcW w:w="846" w:type="dxa"/>
            <w:vAlign w:val="center"/>
          </w:tcPr>
          <w:p w:rsidR="00034C63" w:rsidRPr="00034C63" w:rsidRDefault="00034C63" w:rsidP="007102C7">
            <w:pPr>
              <w:autoSpaceDE w:val="0"/>
              <w:autoSpaceDN w:val="0"/>
              <w:adjustRightInd w:val="0"/>
              <w:spacing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5.1</w:t>
            </w:r>
          </w:p>
        </w:tc>
        <w:tc>
          <w:tcPr>
            <w:tcW w:w="3265" w:type="dxa"/>
            <w:vAlign w:val="center"/>
          </w:tcPr>
          <w:p w:rsidR="00034C63" w:rsidRPr="00034C63" w:rsidRDefault="00034C63" w:rsidP="007102C7">
            <w:pPr>
              <w:autoSpaceDE w:val="0"/>
              <w:autoSpaceDN w:val="0"/>
              <w:adjustRightInd w:val="0"/>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10"/>
                <w:sz w:val="24"/>
                <w:szCs w:val="24"/>
                <w:lang w:eastAsia="ru-RU"/>
              </w:rPr>
              <w:t>Оплата</w:t>
            </w:r>
            <w:r w:rsidRPr="00034C63">
              <w:rPr>
                <w:rFonts w:ascii="Times New Roman" w:eastAsia="Times New Roman" w:hAnsi="Times New Roman" w:cs="Times New Roman"/>
                <w:spacing w:val="-6"/>
                <w:sz w:val="24"/>
                <w:szCs w:val="24"/>
                <w:lang w:eastAsia="ru-RU"/>
              </w:rPr>
              <w:t xml:space="preserve"> товаров (работ, услуг) </w:t>
            </w:r>
            <w:r w:rsidRPr="00034C63">
              <w:rPr>
                <w:rFonts w:ascii="Times New Roman" w:eastAsia="Times New Roman" w:hAnsi="Times New Roman" w:cs="Times New Roman"/>
                <w:spacing w:val="-10"/>
                <w:sz w:val="24"/>
                <w:szCs w:val="24"/>
                <w:lang w:eastAsia="ru-RU"/>
              </w:rPr>
              <w:t xml:space="preserve">с использованием карты КО </w:t>
            </w:r>
          </w:p>
        </w:tc>
        <w:tc>
          <w:tcPr>
            <w:tcW w:w="5245" w:type="dxa"/>
            <w:vAlign w:val="center"/>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Да, без взимания комиссии</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Актуальная информация о тарифах Банка в сети Интернет: </w:t>
            </w:r>
            <w:hyperlink r:id="rId18" w:history="1">
              <w:r w:rsidRPr="00034C63">
                <w:rPr>
                  <w:rFonts w:ascii="Times New Roman" w:eastAsia="Times New Roman" w:hAnsi="Times New Roman" w:cs="Times New Roman"/>
                  <w:color w:val="0000FF"/>
                  <w:sz w:val="24"/>
                  <w:szCs w:val="24"/>
                  <w:u w:val="single"/>
                  <w:lang w:eastAsia="ru-RU"/>
                </w:rPr>
                <w:t>https://srbank.ru/about/tariffs1.html</w:t>
              </w:r>
            </w:hyperlink>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одной операции по оплате товаров/услуг – 300 000 (Триста тысяч) рублей. Дневные и месячные лимиты по оплате товаров/услуг приведены ниже:</w:t>
            </w:r>
          </w:p>
          <w:tbl>
            <w:tblPr>
              <w:tblStyle w:val="6"/>
              <w:tblW w:w="0" w:type="auto"/>
              <w:tblLayout w:type="fixed"/>
              <w:tblLook w:val="04A0" w:firstRow="1" w:lastRow="0" w:firstColumn="1" w:lastColumn="0" w:noHBand="0" w:noVBand="1"/>
            </w:tblPr>
            <w:tblGrid>
              <w:gridCol w:w="2155"/>
              <w:gridCol w:w="1701"/>
              <w:gridCol w:w="1843"/>
            </w:tblGrid>
            <w:tr w:rsidR="00034C63" w:rsidRPr="00034C63" w:rsidTr="00674874">
              <w:tc>
                <w:tcPr>
                  <w:tcW w:w="2155"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Лимит по оплате товаров/услуг</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Количество операций, шт.</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Сумма операций, руб.</w:t>
                  </w:r>
                </w:p>
              </w:tc>
            </w:tr>
            <w:tr w:rsidR="00034C63" w:rsidRPr="00034C63" w:rsidTr="00674874">
              <w:tc>
                <w:tcPr>
                  <w:tcW w:w="2155" w:type="dxa"/>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дня</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30</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500 000</w:t>
                  </w:r>
                </w:p>
              </w:tc>
            </w:tr>
            <w:tr w:rsidR="00034C63" w:rsidRPr="00034C63" w:rsidTr="00674874">
              <w:tc>
                <w:tcPr>
                  <w:tcW w:w="2155" w:type="dxa"/>
                </w:tcPr>
                <w:p w:rsidR="00034C63" w:rsidRPr="00034C63" w:rsidRDefault="00034C63" w:rsidP="007102C7">
                  <w:pPr>
                    <w:autoSpaceDE w:val="0"/>
                    <w:autoSpaceDN w:val="0"/>
                    <w:adjustRightInd w:val="0"/>
                    <w:spacing w:before="80" w:after="80"/>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течение одного месяца</w:t>
                  </w:r>
                </w:p>
              </w:tc>
              <w:tc>
                <w:tcPr>
                  <w:tcW w:w="1701"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100</w:t>
                  </w:r>
                </w:p>
              </w:tc>
              <w:tc>
                <w:tcPr>
                  <w:tcW w:w="1843" w:type="dxa"/>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1 000 000</w:t>
                  </w:r>
                </w:p>
              </w:tc>
            </w:tr>
          </w:tbl>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p>
        </w:tc>
      </w:tr>
      <w:tr w:rsidR="00034C63" w:rsidRPr="00034C63" w:rsidTr="00674874">
        <w:tc>
          <w:tcPr>
            <w:tcW w:w="846" w:type="dxa"/>
            <w:vAlign w:val="center"/>
          </w:tcPr>
          <w:p w:rsidR="00034C63" w:rsidRPr="00034C63" w:rsidRDefault="00034C63" w:rsidP="007102C7">
            <w:pPr>
              <w:autoSpaceDE w:val="0"/>
              <w:autoSpaceDN w:val="0"/>
              <w:adjustRightInd w:val="0"/>
              <w:spacing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5.2</w:t>
            </w:r>
          </w:p>
        </w:tc>
        <w:tc>
          <w:tcPr>
            <w:tcW w:w="3265"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10"/>
                <w:sz w:val="24"/>
                <w:szCs w:val="24"/>
                <w:lang w:eastAsia="ru-RU"/>
              </w:rPr>
              <w:t>Конвертация, в случае если валюта операции</w:t>
            </w:r>
            <w:r w:rsidRPr="00034C63">
              <w:rPr>
                <w:rFonts w:ascii="Times New Roman" w:eastAsia="Times New Roman" w:hAnsi="Times New Roman" w:cs="Times New Roman"/>
                <w:spacing w:val="-10"/>
                <w:sz w:val="24"/>
                <w:szCs w:val="24"/>
                <w:vertAlign w:val="superscript"/>
                <w:lang w:eastAsia="ru-RU"/>
              </w:rPr>
              <w:footnoteReference w:id="4"/>
            </w:r>
            <w:r w:rsidRPr="00034C63">
              <w:rPr>
                <w:rFonts w:ascii="Times New Roman" w:eastAsia="Times New Roman" w:hAnsi="Times New Roman" w:cs="Times New Roman"/>
                <w:spacing w:val="-10"/>
                <w:sz w:val="24"/>
                <w:szCs w:val="24"/>
                <w:lang w:eastAsia="ru-RU"/>
              </w:rPr>
              <w:t xml:space="preserve"> отличается от валюты счета</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pacing w:val="-10"/>
                <w:sz w:val="24"/>
                <w:szCs w:val="24"/>
                <w:lang w:eastAsia="ru-RU"/>
              </w:rPr>
            </w:pPr>
            <w:r w:rsidRPr="00034C63">
              <w:rPr>
                <w:rFonts w:ascii="Times New Roman" w:eastAsia="Times New Roman" w:hAnsi="Times New Roman" w:cs="Times New Roman"/>
                <w:sz w:val="24"/>
                <w:szCs w:val="24"/>
                <w:lang w:eastAsia="ru-RU"/>
              </w:rPr>
              <w:t>Да,</w:t>
            </w:r>
            <w:r w:rsidRPr="00034C63">
              <w:rPr>
                <w:rFonts w:ascii="Times New Roman" w:eastAsia="Times New Roman" w:hAnsi="Times New Roman" w:cs="Times New Roman"/>
                <w:spacing w:val="-10"/>
                <w:sz w:val="24"/>
                <w:szCs w:val="24"/>
                <w:lang w:eastAsia="ru-RU"/>
              </w:rPr>
              <w:t xml:space="preserve"> в случае проведения операции в валюте, отличной от валюты счета, денежные средства конвертируются по курсу Банка, установленному для расчетов по операциям с банковскими картами на день отражения операции по счету Клиента</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pacing w:val="-10"/>
                <w:sz w:val="24"/>
                <w:szCs w:val="24"/>
                <w:lang w:eastAsia="ru-RU"/>
              </w:rPr>
              <w:t xml:space="preserve">Более подробная информация о конвертации содержится в Правилах открытия и обслуживания банковского счета физического лица для расчетов с использованием дебетовой банковской карты или ее реквизитов, выпуска и обслуживания дебетовых банковских карт, порядка использования электронного средства платежа </w:t>
            </w:r>
            <w:r w:rsidRPr="00034C63">
              <w:rPr>
                <w:rFonts w:ascii="Times New Roman" w:eastAsia="Times New Roman" w:hAnsi="Times New Roman" w:cs="Times New Roman"/>
                <w:sz w:val="24"/>
                <w:szCs w:val="24"/>
                <w:lang w:eastAsia="ru-RU"/>
              </w:rPr>
              <w:t>на официальном сайте Банка в сети Интернет в Разделе Частным лицам/Пластиковые карты (</w:t>
            </w:r>
            <w:hyperlink r:id="rId19" w:history="1">
              <w:r w:rsidRPr="00034C63">
                <w:rPr>
                  <w:rFonts w:ascii="Times New Roman" w:eastAsia="Times New Roman" w:hAnsi="Times New Roman" w:cs="Times New Roman"/>
                  <w:color w:val="0000FF"/>
                  <w:sz w:val="24"/>
                  <w:szCs w:val="24"/>
                  <w:u w:val="single"/>
                  <w:lang w:eastAsia="ru-RU"/>
                </w:rPr>
                <w:t>https://srbank.ru/individual/cards.html</w:t>
              </w:r>
            </w:hyperlink>
            <w:r w:rsidRPr="00034C63">
              <w:rPr>
                <w:rFonts w:ascii="Times New Roman" w:eastAsia="Times New Roman" w:hAnsi="Times New Roman" w:cs="Times New Roman"/>
                <w:sz w:val="24"/>
                <w:szCs w:val="24"/>
                <w:lang w:eastAsia="ru-RU"/>
              </w:rPr>
              <w:t>)</w:t>
            </w:r>
          </w:p>
        </w:tc>
      </w:tr>
    </w:tbl>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p>
    <w:p w:rsidR="00034C63" w:rsidRPr="00034C63" w:rsidRDefault="00034C63" w:rsidP="00034C63">
      <w:pPr>
        <w:suppressAutoHyphens/>
        <w:spacing w:after="0" w:line="240" w:lineRule="auto"/>
        <w:ind w:left="7791" w:firstLine="437"/>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Таблица 3</w:t>
      </w:r>
    </w:p>
    <w:p w:rsidR="00034C63" w:rsidRPr="00034C63" w:rsidRDefault="00034C63" w:rsidP="00034C63">
      <w:pPr>
        <w:suppressAutoHyphens/>
        <w:spacing w:after="0" w:line="240" w:lineRule="auto"/>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Прочие условия</w:t>
      </w:r>
    </w:p>
    <w:tbl>
      <w:tblPr>
        <w:tblStyle w:val="6"/>
        <w:tblW w:w="9351" w:type="dxa"/>
        <w:tblLook w:val="04A0" w:firstRow="1" w:lastRow="0" w:firstColumn="1" w:lastColumn="0" w:noHBand="0" w:noVBand="1"/>
      </w:tblPr>
      <w:tblGrid>
        <w:gridCol w:w="846"/>
        <w:gridCol w:w="3260"/>
        <w:gridCol w:w="5245"/>
      </w:tblGrid>
      <w:tr w:rsidR="00034C63" w:rsidRPr="00034C63" w:rsidTr="00674874">
        <w:tc>
          <w:tcPr>
            <w:tcW w:w="846" w:type="dxa"/>
          </w:tcPr>
          <w:p w:rsidR="00034C63" w:rsidRPr="00034C63" w:rsidRDefault="00034C63" w:rsidP="007102C7">
            <w:pPr>
              <w:autoSpaceDE w:val="0"/>
              <w:autoSpaceDN w:val="0"/>
              <w:adjustRightInd w:val="0"/>
              <w:spacing w:before="60" w:after="6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п/п</w:t>
            </w:r>
          </w:p>
        </w:tc>
        <w:tc>
          <w:tcPr>
            <w:tcW w:w="3260" w:type="dxa"/>
          </w:tcPr>
          <w:p w:rsidR="00034C63" w:rsidRPr="00034C63" w:rsidRDefault="00034C63" w:rsidP="007102C7">
            <w:pPr>
              <w:suppressAutoHyphens/>
              <w:spacing w:before="120" w:after="12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Наименование условия</w:t>
            </w:r>
          </w:p>
        </w:tc>
        <w:tc>
          <w:tcPr>
            <w:tcW w:w="5245" w:type="dxa"/>
          </w:tcPr>
          <w:p w:rsidR="00034C63" w:rsidRPr="00034C63" w:rsidRDefault="00034C63" w:rsidP="007102C7">
            <w:pPr>
              <w:suppressAutoHyphens/>
              <w:spacing w:before="120" w:after="12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Содержание условия</w:t>
            </w:r>
          </w:p>
        </w:tc>
      </w:tr>
      <w:tr w:rsidR="00034C63" w:rsidRPr="00034C63" w:rsidTr="00674874">
        <w:tc>
          <w:tcPr>
            <w:tcW w:w="846"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pacing w:val="-6"/>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spacing w:line="216" w:lineRule="auto"/>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z w:val="24"/>
                <w:szCs w:val="24"/>
                <w:lang w:eastAsia="ru-RU"/>
              </w:rPr>
              <w:t>Возможность установления расходных лимитов потребителем</w:t>
            </w:r>
          </w:p>
        </w:tc>
        <w:tc>
          <w:tcPr>
            <w:tcW w:w="5245"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Да, Клиент может установить месячный лимит на расходные операции (оплата товаров/услуг, переводы, снятие наличных) при личном обращении на любую сумму, но не более лимитов, установленных </w:t>
            </w:r>
            <w:proofErr w:type="gramStart"/>
            <w:r w:rsidRPr="00034C63">
              <w:rPr>
                <w:rFonts w:ascii="Times New Roman" w:eastAsia="Times New Roman" w:hAnsi="Times New Roman" w:cs="Times New Roman"/>
                <w:sz w:val="24"/>
                <w:szCs w:val="24"/>
                <w:lang w:eastAsia="ru-RU"/>
              </w:rPr>
              <w:t xml:space="preserve">Банком.  </w:t>
            </w:r>
            <w:proofErr w:type="gramEnd"/>
          </w:p>
        </w:tc>
      </w:tr>
      <w:tr w:rsidR="00034C63" w:rsidRPr="00034C63" w:rsidTr="00674874">
        <w:tc>
          <w:tcPr>
            <w:tcW w:w="846"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spacing w:after="120" w:line="600" w:lineRule="auto"/>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spacing w:line="216" w:lineRule="auto"/>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Возможность овердрафта</w:t>
            </w:r>
            <w:r w:rsidRPr="00034C63">
              <w:rPr>
                <w:rFonts w:ascii="Times New Roman" w:eastAsia="Times New Roman" w:hAnsi="Times New Roman" w:cs="Times New Roman"/>
                <w:spacing w:val="-6"/>
                <w:sz w:val="24"/>
                <w:szCs w:val="24"/>
                <w:vertAlign w:val="superscript"/>
                <w:lang w:eastAsia="ru-RU"/>
              </w:rPr>
              <w:footnoteReference w:id="5"/>
            </w:r>
            <w:r w:rsidRPr="00034C63">
              <w:rPr>
                <w:rFonts w:ascii="Times New Roman" w:eastAsia="Times New Roman" w:hAnsi="Times New Roman" w:cs="Times New Roman"/>
                <w:spacing w:val="-6"/>
                <w:sz w:val="24"/>
                <w:szCs w:val="24"/>
                <w:lang w:eastAsia="ru-RU"/>
              </w:rPr>
              <w:t xml:space="preserve"> </w:t>
            </w:r>
          </w:p>
          <w:p w:rsidR="00034C63" w:rsidRPr="00034C63" w:rsidRDefault="00034C63" w:rsidP="007102C7">
            <w:pPr>
              <w:autoSpaceDE w:val="0"/>
              <w:autoSpaceDN w:val="0"/>
              <w:adjustRightInd w:val="0"/>
              <w:rPr>
                <w:rFonts w:ascii="Times New Roman" w:eastAsia="Times New Roman" w:hAnsi="Times New Roman" w:cs="Times New Roman"/>
                <w:spacing w:val="-6"/>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Нет</w:t>
            </w:r>
          </w:p>
        </w:tc>
      </w:tr>
      <w:tr w:rsidR="00034C63" w:rsidRPr="00034C63" w:rsidTr="00674874">
        <w:tc>
          <w:tcPr>
            <w:tcW w:w="846" w:type="dxa"/>
            <w:vAlign w:val="center"/>
          </w:tcPr>
          <w:p w:rsidR="00034C63" w:rsidRPr="00034C63" w:rsidRDefault="00034C63" w:rsidP="007102C7">
            <w:pPr>
              <w:autoSpaceDE w:val="0"/>
              <w:autoSpaceDN w:val="0"/>
              <w:adjustRightInd w:val="0"/>
              <w:spacing w:after="12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3</w:t>
            </w:r>
          </w:p>
        </w:tc>
        <w:tc>
          <w:tcPr>
            <w:tcW w:w="3260" w:type="dxa"/>
            <w:vAlign w:val="center"/>
          </w:tcPr>
          <w:p w:rsidR="00034C63" w:rsidRPr="00034C63" w:rsidRDefault="00034C63" w:rsidP="007102C7">
            <w:pPr>
              <w:autoSpaceDE w:val="0"/>
              <w:autoSpaceDN w:val="0"/>
              <w:adjustRightInd w:val="0"/>
              <w:jc w:val="both"/>
              <w:rPr>
                <w:rFonts w:ascii="Times New Roman" w:eastAsia="Times New Roman" w:hAnsi="Times New Roman" w:cs="Times New Roman"/>
                <w:spacing w:val="-6"/>
                <w:sz w:val="24"/>
                <w:szCs w:val="24"/>
                <w:lang w:eastAsia="ru-RU"/>
              </w:rPr>
            </w:pPr>
            <w:r w:rsidRPr="00034C63">
              <w:rPr>
                <w:rFonts w:ascii="Times New Roman" w:eastAsia="Times New Roman" w:hAnsi="Times New Roman" w:cs="Times New Roman"/>
                <w:spacing w:val="-6"/>
                <w:sz w:val="24"/>
                <w:szCs w:val="24"/>
                <w:lang w:eastAsia="ru-RU"/>
              </w:rPr>
              <w:t>Страхование денежных средств, размещенных на банковском счете, к которому выпущена карта</w:t>
            </w:r>
          </w:p>
        </w:tc>
        <w:tc>
          <w:tcPr>
            <w:tcW w:w="5245" w:type="dxa"/>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Денежные средства застрахованы в пределах 1,4 млн рублей по всем счетам </w:t>
            </w:r>
            <w:proofErr w:type="gramStart"/>
            <w:r w:rsidRPr="00034C63">
              <w:rPr>
                <w:rFonts w:ascii="Times New Roman" w:eastAsia="Times New Roman" w:hAnsi="Times New Roman" w:cs="Times New Roman"/>
                <w:sz w:val="24"/>
                <w:szCs w:val="24"/>
                <w:lang w:eastAsia="ru-RU"/>
              </w:rPr>
              <w:t>в КО</w:t>
            </w:r>
            <w:proofErr w:type="gramEnd"/>
            <w:r w:rsidRPr="00034C63">
              <w:rPr>
                <w:rFonts w:ascii="Times New Roman" w:eastAsia="Times New Roman" w:hAnsi="Times New Roman" w:cs="Times New Roman"/>
                <w:sz w:val="24"/>
                <w:szCs w:val="24"/>
                <w:lang w:eastAsia="ru-RU"/>
              </w:rPr>
              <w:t xml:space="preserve"> для представителей малого и среднего бизнеса </w:t>
            </w:r>
            <w:r w:rsidRPr="00034C63">
              <w:rPr>
                <w:rFonts w:ascii="Times New Roman" w:eastAsia="Times New Roman" w:hAnsi="Times New Roman" w:cs="Times New Roman"/>
                <w:sz w:val="24"/>
                <w:szCs w:val="24"/>
                <w:vertAlign w:val="superscript"/>
                <w:lang w:eastAsia="ru-RU"/>
              </w:rPr>
              <w:footnoteReference w:id="6"/>
            </w:r>
          </w:p>
        </w:tc>
      </w:tr>
      <w:tr w:rsidR="00034C63" w:rsidRPr="00034C63" w:rsidTr="00674874">
        <w:tc>
          <w:tcPr>
            <w:tcW w:w="9351" w:type="dxa"/>
            <w:gridSpan w:val="3"/>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Памятка по безопасности</w:t>
            </w:r>
          </w:p>
        </w:tc>
      </w:tr>
      <w:tr w:rsidR="00034C63" w:rsidRPr="00034C63" w:rsidTr="00674874">
        <w:tc>
          <w:tcPr>
            <w:tcW w:w="9351" w:type="dxa"/>
            <w:gridSpan w:val="3"/>
            <w:vAlign w:val="center"/>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Никому (в том числе сотруднику Банка) не сообщайте PIN-код, CVC/CVV (код на обороте карты), одноразовые коды (пароли) из СМС-сообщений.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Не оставляйте карту без присмотра, не передавайте ее третьим лицам.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При утрате или похищении карты немедленно сообщите в Банк по тел. (495) 229-42-00 (с понедельника по четверг 9.00-18.00, пятница – 9.00-16.45, (495) 723-77-21 (круглосуточно).</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Банк по тел. (495) 229-42-00.</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За подробной памяткой о безопасности и правилах использования карты обращайтесь в Банк. Также с информацией по безопасному использованию карты можно ознакомиться на официальном сайте Банка в сети Интернет, Раздел Частным лицам/Пластиковые карты (</w:t>
            </w:r>
            <w:hyperlink r:id="rId20" w:history="1">
              <w:r w:rsidRPr="00034C63">
                <w:rPr>
                  <w:rFonts w:ascii="Times New Roman" w:eastAsia="Times New Roman" w:hAnsi="Times New Roman" w:cs="Times New Roman"/>
                  <w:color w:val="0000FF"/>
                  <w:sz w:val="24"/>
                  <w:szCs w:val="24"/>
                  <w:u w:val="single"/>
                  <w:lang w:eastAsia="ru-RU"/>
                </w:rPr>
                <w:t>https://srbank.ru/individual/cards.html</w:t>
              </w:r>
            </w:hyperlink>
            <w:r w:rsidRPr="00034C63">
              <w:rPr>
                <w:rFonts w:ascii="Times New Roman" w:eastAsia="Times New Roman" w:hAnsi="Times New Roman" w:cs="Times New Roman"/>
                <w:sz w:val="24"/>
                <w:szCs w:val="24"/>
                <w:lang w:eastAsia="ru-RU"/>
              </w:rPr>
              <w:t xml:space="preserve">) </w:t>
            </w:r>
          </w:p>
        </w:tc>
      </w:tr>
      <w:tr w:rsidR="00034C63" w:rsidRPr="00034C63" w:rsidTr="00674874">
        <w:tc>
          <w:tcPr>
            <w:tcW w:w="9351" w:type="dxa"/>
            <w:gridSpan w:val="3"/>
            <w:vAlign w:val="center"/>
          </w:tcPr>
          <w:p w:rsidR="00034C63" w:rsidRPr="00034C63" w:rsidRDefault="00034C63" w:rsidP="007102C7">
            <w:pPr>
              <w:autoSpaceDE w:val="0"/>
              <w:autoSpaceDN w:val="0"/>
              <w:adjustRightInd w:val="0"/>
              <w:spacing w:before="80" w:after="80"/>
              <w:jc w:val="center"/>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Ограничения способов и мест использования карты, а также случаи повышенного риска ее использования</w:t>
            </w:r>
          </w:p>
        </w:tc>
      </w:tr>
      <w:tr w:rsidR="00034C63" w:rsidRPr="00034C63" w:rsidTr="00674874">
        <w:trPr>
          <w:trHeight w:val="1627"/>
        </w:trPr>
        <w:tc>
          <w:tcPr>
            <w:tcW w:w="9351" w:type="dxa"/>
            <w:gridSpan w:val="3"/>
          </w:tcPr>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В целях снижения повышенного риска использования карты, Банк рекомендует:</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 Не использовать устройства, которые требуют ввода ПИН-кода для доступа в помещение, где расположен банкомат,</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2. В случае, если рядом с банкоматом находятся посторонние лица, следует выбрать более подходящее время для использования банкомата или воспользоваться другим банкоматом, </w:t>
            </w:r>
          </w:p>
          <w:p w:rsidR="00034C63" w:rsidRPr="00034C63" w:rsidRDefault="00034C63" w:rsidP="007102C7">
            <w:pPr>
              <w:shd w:val="clear" w:color="auto" w:fill="FFFFFF"/>
              <w:suppressAutoHyphens/>
              <w:jc w:val="both"/>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0"/>
                <w:szCs w:val="20"/>
                <w:lang w:eastAsia="ar-SA"/>
              </w:rPr>
              <w:t xml:space="preserve">3. </w:t>
            </w:r>
            <w:r w:rsidRPr="00034C63">
              <w:rPr>
                <w:rFonts w:ascii="Times New Roman" w:eastAsia="Times New Roman" w:hAnsi="Times New Roman" w:cs="Times New Roman"/>
                <w:sz w:val="24"/>
                <w:szCs w:val="24"/>
                <w:lang w:eastAsia="ar-SA"/>
              </w:rPr>
              <w:t xml:space="preserve">Для снятия наличных использовать банкоматы, установленные в офисах банков. При использовании банкоматов, установленных в общедоступных местах (торговые центры, вокзалы и т.п.) обращайте внимание на необычные и подозрительные устройства на </w:t>
            </w:r>
            <w:proofErr w:type="spellStart"/>
            <w:r w:rsidRPr="00034C63">
              <w:rPr>
                <w:rFonts w:ascii="Times New Roman" w:eastAsia="Times New Roman" w:hAnsi="Times New Roman" w:cs="Times New Roman"/>
                <w:sz w:val="24"/>
                <w:szCs w:val="24"/>
                <w:lang w:eastAsia="ar-SA"/>
              </w:rPr>
              <w:t>картоприемнике</w:t>
            </w:r>
            <w:proofErr w:type="spellEnd"/>
            <w:r w:rsidRPr="00034C63">
              <w:rPr>
                <w:rFonts w:ascii="Times New Roman" w:eastAsia="Times New Roman" w:hAnsi="Times New Roman" w:cs="Times New Roman"/>
                <w:sz w:val="24"/>
                <w:szCs w:val="24"/>
                <w:lang w:eastAsia="ar-SA"/>
              </w:rPr>
              <w:t xml:space="preserve"> и клавиатуре банкомата, миниатюрные камеры, направленные на клавиатуру. При выявлении таких устройств рекомендуем воздержатся от использования банковской карты в данном банкомате и сообщить о своих подозрениях сотрудникам кредитной организации по телефону, указанному на банкомате,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4. Вводить ПИН-код таким образом, чтобы люди, находящиеся в непосредственной близости, не смогли его увидеть. При наборе ПИН-кода прикрывать клавиатуру рукой,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5. Не использовать банковские карты в организациях торговли и услуг, не вызывающих доверия,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6. В случае, если при попытке оплаты банковской картой, произошел какой-то сбой (операция не прошла), сохранить выданный терминалом чек для последующей проверки на отсутствие указанной операции в выписке по банковскому счету,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7. При оплате товаров/услуг в сети Интернет отдавать предпочтение сайтам, которые при расчетах используют технологии подтверждения </w:t>
            </w:r>
            <w:proofErr w:type="spellStart"/>
            <w:r w:rsidRPr="00034C63">
              <w:rPr>
                <w:rFonts w:ascii="Times New Roman" w:eastAsia="Times New Roman" w:hAnsi="Times New Roman" w:cs="Times New Roman"/>
                <w:sz w:val="24"/>
                <w:szCs w:val="24"/>
                <w:lang w:val="en-US" w:eastAsia="ru-RU"/>
              </w:rPr>
              <w:t>MirAccept</w:t>
            </w:r>
            <w:proofErr w:type="spellEnd"/>
            <w:r w:rsidRPr="00034C63">
              <w:rPr>
                <w:rFonts w:ascii="Times New Roman" w:eastAsia="Times New Roman" w:hAnsi="Times New Roman" w:cs="Times New Roman"/>
                <w:sz w:val="24"/>
                <w:szCs w:val="24"/>
                <w:lang w:eastAsia="ru-RU"/>
              </w:rPr>
              <w:t>.</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 xml:space="preserve">8. Совершать покупки на Интернет-сайтах только со своего компьютера в целях сохранения конфиденциальности персональных данных и(или) информации о банковской(ом) карте (счете). В случае если покупка совершается с использованием чужого компьютера, не сохранять на нем персональные данные и другую информацию, а после завершения всех операций убедиться, что персональные данные и другая информация не сохранились (вновь загрузив в браузере </w:t>
            </w:r>
            <w:proofErr w:type="spellStart"/>
            <w:r w:rsidRPr="00034C63">
              <w:rPr>
                <w:rFonts w:ascii="Times New Roman" w:eastAsia="Times New Roman" w:hAnsi="Times New Roman" w:cs="Times New Roman"/>
                <w:sz w:val="24"/>
                <w:szCs w:val="24"/>
                <w:lang w:eastAsia="ru-RU"/>
              </w:rPr>
              <w:t>web</w:t>
            </w:r>
            <w:proofErr w:type="spellEnd"/>
            <w:r w:rsidRPr="00034C63">
              <w:rPr>
                <w:rFonts w:ascii="Times New Roman" w:eastAsia="Times New Roman" w:hAnsi="Times New Roman" w:cs="Times New Roman"/>
                <w:sz w:val="24"/>
                <w:szCs w:val="24"/>
                <w:lang w:eastAsia="ru-RU"/>
              </w:rPr>
              <w:t xml:space="preserve">-страницу продавца, на которой совершались покупки), </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9. Для оплаты покупок в сети Интернет использовать отдельную банковскую карту.</w:t>
            </w:r>
          </w:p>
          <w:p w:rsidR="00034C63" w:rsidRPr="00034C63" w:rsidRDefault="00034C63" w:rsidP="007102C7">
            <w:pPr>
              <w:autoSpaceDE w:val="0"/>
              <w:autoSpaceDN w:val="0"/>
              <w:adjustRightInd w:val="0"/>
              <w:spacing w:before="80" w:after="80"/>
              <w:jc w:val="both"/>
              <w:rPr>
                <w:rFonts w:ascii="Times New Roman" w:eastAsia="Times New Roman" w:hAnsi="Times New Roman" w:cs="Times New Roman"/>
                <w:sz w:val="24"/>
                <w:szCs w:val="24"/>
                <w:lang w:eastAsia="ru-RU"/>
              </w:rPr>
            </w:pPr>
            <w:r w:rsidRPr="00034C63">
              <w:rPr>
                <w:rFonts w:ascii="Times New Roman" w:eastAsia="Times New Roman" w:hAnsi="Times New Roman" w:cs="Times New Roman"/>
                <w:sz w:val="24"/>
                <w:szCs w:val="24"/>
                <w:lang w:eastAsia="ru-RU"/>
              </w:rPr>
              <w:t>10. Перед поездкой за границу ознакомиться со списком стран, принимающих карты МИР. Список стран постоянно обновляется.</w:t>
            </w:r>
          </w:p>
          <w:p w:rsidR="00034C63" w:rsidRPr="00034C63" w:rsidRDefault="00034C63" w:rsidP="007102C7">
            <w:pPr>
              <w:shd w:val="clear" w:color="auto" w:fill="FFFFFF"/>
              <w:suppressAutoHyphens/>
              <w:jc w:val="both"/>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 xml:space="preserve">11. Незамедлительно сообщать в Банк при утрате карты, ее компрометации, выявлении несанкционированных операций, совершенных с использованием карты (ее реквизитов) третьими лицами. </w:t>
            </w:r>
          </w:p>
          <w:p w:rsidR="00034C63" w:rsidRPr="00034C63" w:rsidRDefault="00034C63" w:rsidP="007102C7">
            <w:pPr>
              <w:shd w:val="clear" w:color="auto" w:fill="FFFFFF"/>
              <w:suppressAutoHyphens/>
              <w:jc w:val="both"/>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12. Обеспечить надлежащее хранение карты (ее реквизитов) с целью предупреждения совершения третьими операций с использованием карты (ее реквизитов).</w:t>
            </w:r>
          </w:p>
          <w:p w:rsidR="00034C63" w:rsidRPr="00034C63" w:rsidRDefault="00034C63" w:rsidP="007102C7">
            <w:pPr>
              <w:shd w:val="clear" w:color="auto" w:fill="FFFFFF"/>
              <w:suppressAutoHyphens/>
              <w:jc w:val="both"/>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13. Контролировать операции, совершаемые по счету с использованием карты.</w:t>
            </w:r>
          </w:p>
        </w:tc>
      </w:tr>
      <w:tr w:rsidR="00034C63" w:rsidRPr="00034C63" w:rsidTr="00674874">
        <w:tc>
          <w:tcPr>
            <w:tcW w:w="9351" w:type="dxa"/>
            <w:gridSpan w:val="3"/>
            <w:tcBorders>
              <w:bottom w:val="single" w:sz="4" w:space="0" w:color="auto"/>
            </w:tcBorders>
          </w:tcPr>
          <w:p w:rsidR="00034C63" w:rsidRPr="00034C63" w:rsidRDefault="00034C63" w:rsidP="007102C7">
            <w:pPr>
              <w:suppressAutoHyphens/>
              <w:spacing w:before="120" w:after="120"/>
              <w:jc w:val="center"/>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Контакты КО</w:t>
            </w:r>
          </w:p>
        </w:tc>
      </w:tr>
      <w:tr w:rsidR="00034C63" w:rsidRPr="00C64BA3" w:rsidTr="00674874">
        <w:tc>
          <w:tcPr>
            <w:tcW w:w="9351" w:type="dxa"/>
            <w:gridSpan w:val="3"/>
            <w:tcBorders>
              <w:left w:val="single" w:sz="4" w:space="0" w:color="auto"/>
              <w:bottom w:val="single" w:sz="4" w:space="0" w:color="auto"/>
              <w:right w:val="single" w:sz="4" w:space="0" w:color="auto"/>
            </w:tcBorders>
          </w:tcPr>
          <w:p w:rsidR="00034C63" w:rsidRPr="00034C63" w:rsidRDefault="00034C63" w:rsidP="007102C7">
            <w:pPr>
              <w:suppressAutoHyphens/>
              <w:rPr>
                <w:rFonts w:ascii="Times New Roman" w:eastAsia="Times New Roman" w:hAnsi="Times New Roman" w:cs="Times New Roman"/>
                <w:sz w:val="24"/>
                <w:szCs w:val="24"/>
                <w:lang w:eastAsia="ar-SA"/>
              </w:rPr>
            </w:pPr>
            <w:r w:rsidRPr="00034C63">
              <w:rPr>
                <w:rFonts w:ascii="Times New Roman" w:eastAsia="Times New Roman" w:hAnsi="Times New Roman" w:cs="Times New Roman"/>
                <w:sz w:val="24"/>
                <w:szCs w:val="24"/>
                <w:lang w:eastAsia="ar-SA"/>
              </w:rPr>
              <w:t xml:space="preserve">Адрес: 101000, </w:t>
            </w:r>
            <w:proofErr w:type="spellStart"/>
            <w:r w:rsidRPr="00034C63">
              <w:rPr>
                <w:rFonts w:ascii="Times New Roman" w:eastAsia="Times New Roman" w:hAnsi="Times New Roman" w:cs="Times New Roman"/>
                <w:sz w:val="24"/>
                <w:szCs w:val="24"/>
                <w:lang w:eastAsia="ar-SA"/>
              </w:rPr>
              <w:t>г.Москва</w:t>
            </w:r>
            <w:proofErr w:type="spellEnd"/>
            <w:r w:rsidRPr="00034C63">
              <w:rPr>
                <w:rFonts w:ascii="Times New Roman" w:eastAsia="Times New Roman" w:hAnsi="Times New Roman" w:cs="Times New Roman"/>
                <w:sz w:val="24"/>
                <w:szCs w:val="24"/>
                <w:lang w:eastAsia="ar-SA"/>
              </w:rPr>
              <w:t>, ул. Садовая-</w:t>
            </w:r>
            <w:proofErr w:type="spellStart"/>
            <w:r w:rsidRPr="00034C63">
              <w:rPr>
                <w:rFonts w:ascii="Times New Roman" w:eastAsia="Times New Roman" w:hAnsi="Times New Roman" w:cs="Times New Roman"/>
                <w:sz w:val="24"/>
                <w:szCs w:val="24"/>
                <w:lang w:eastAsia="ar-SA"/>
              </w:rPr>
              <w:t>Черногрязская</w:t>
            </w:r>
            <w:proofErr w:type="spellEnd"/>
            <w:r w:rsidRPr="00034C63">
              <w:rPr>
                <w:rFonts w:ascii="Times New Roman" w:eastAsia="Times New Roman" w:hAnsi="Times New Roman" w:cs="Times New Roman"/>
                <w:sz w:val="24"/>
                <w:szCs w:val="24"/>
                <w:lang w:eastAsia="ar-SA"/>
              </w:rPr>
              <w:t xml:space="preserve">, дом 22, стр.3, тел.: (495) 229-42-00, </w:t>
            </w:r>
          </w:p>
          <w:p w:rsidR="00034C63" w:rsidRPr="00034C63" w:rsidRDefault="00034C63" w:rsidP="007102C7">
            <w:pPr>
              <w:tabs>
                <w:tab w:val="left" w:pos="3272"/>
              </w:tabs>
              <w:suppressAutoHyphens/>
              <w:jc w:val="both"/>
              <w:rPr>
                <w:rFonts w:ascii="Times New Roman" w:eastAsia="Times New Roman" w:hAnsi="Times New Roman" w:cs="Times New Roman"/>
                <w:sz w:val="24"/>
                <w:szCs w:val="24"/>
                <w:lang w:val="en-US" w:eastAsia="ar-SA"/>
              </w:rPr>
            </w:pPr>
            <w:r w:rsidRPr="00034C63">
              <w:rPr>
                <w:rFonts w:ascii="Times New Roman" w:eastAsia="Times New Roman" w:hAnsi="Times New Roman" w:cs="Times New Roman"/>
                <w:sz w:val="24"/>
                <w:szCs w:val="24"/>
                <w:lang w:val="en-US" w:eastAsia="ar-SA"/>
              </w:rPr>
              <w:t xml:space="preserve">email: </w:t>
            </w:r>
            <w:hyperlink r:id="rId21" w:history="1">
              <w:r w:rsidRPr="00034C63">
                <w:rPr>
                  <w:rFonts w:ascii="Times New Roman" w:eastAsia="Times New Roman" w:hAnsi="Times New Roman" w:cs="Times New Roman"/>
                  <w:color w:val="0000FF"/>
                  <w:sz w:val="20"/>
                  <w:szCs w:val="24"/>
                  <w:u w:val="single"/>
                  <w:lang w:val="en-US" w:eastAsia="ar-SA"/>
                </w:rPr>
                <w:t>bank@srbank.ru</w:t>
              </w:r>
            </w:hyperlink>
          </w:p>
        </w:tc>
      </w:tr>
    </w:tbl>
    <w:p w:rsidR="00616467" w:rsidRDefault="00333238"/>
    <w:sectPr w:rsidR="00616467" w:rsidSect="006748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238" w:rsidRDefault="00333238" w:rsidP="00034C63">
      <w:pPr>
        <w:spacing w:after="0" w:line="240" w:lineRule="auto"/>
      </w:pPr>
      <w:r>
        <w:separator/>
      </w:r>
    </w:p>
  </w:endnote>
  <w:endnote w:type="continuationSeparator" w:id="0">
    <w:p w:rsidR="00333238" w:rsidRDefault="00333238" w:rsidP="0003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238" w:rsidRDefault="00333238" w:rsidP="00034C63">
      <w:pPr>
        <w:spacing w:after="0" w:line="240" w:lineRule="auto"/>
      </w:pPr>
      <w:r>
        <w:separator/>
      </w:r>
    </w:p>
  </w:footnote>
  <w:footnote w:type="continuationSeparator" w:id="0">
    <w:p w:rsidR="00333238" w:rsidRDefault="00333238" w:rsidP="00034C63">
      <w:pPr>
        <w:spacing w:after="0" w:line="240" w:lineRule="auto"/>
      </w:pPr>
      <w:r>
        <w:continuationSeparator/>
      </w:r>
    </w:p>
  </w:footnote>
  <w:footnote w:id="1">
    <w:p w:rsidR="00034C63" w:rsidRPr="00A03C05" w:rsidRDefault="00034C63" w:rsidP="00034C63">
      <w:pPr>
        <w:pStyle w:val="a4"/>
        <w:ind w:firstLine="567"/>
      </w:pPr>
      <w:r w:rsidRPr="00A03C05">
        <w:rPr>
          <w:rStyle w:val="a5"/>
          <w:rFonts w:eastAsiaTheme="majorEastAsia"/>
        </w:rPr>
        <w:footnoteRef/>
      </w:r>
      <w:r w:rsidRPr="00A03C05">
        <w:t xml:space="preserve"> Здесь и далее по тексту под «картой» </w:t>
      </w:r>
      <w:r>
        <w:t>имеется в виду</w:t>
      </w:r>
      <w:r w:rsidRPr="00A03C05">
        <w:t xml:space="preserve"> расчетная (дебетовая) карта.</w:t>
      </w:r>
    </w:p>
  </w:footnote>
  <w:footnote w:id="2">
    <w:p w:rsidR="00034C63" w:rsidRPr="00780A2A" w:rsidRDefault="00034C63" w:rsidP="00034C63">
      <w:pPr>
        <w:pStyle w:val="a4"/>
        <w:ind w:firstLine="567"/>
        <w:rPr>
          <w:spacing w:val="-2"/>
        </w:rPr>
      </w:pPr>
      <w:r w:rsidRPr="00780A2A">
        <w:rPr>
          <w:rStyle w:val="a5"/>
          <w:rFonts w:eastAsiaTheme="majorEastAsia"/>
          <w:spacing w:val="-2"/>
        </w:rPr>
        <w:footnoteRef/>
      </w:r>
      <w:r>
        <w:rPr>
          <w:spacing w:val="-2"/>
        </w:rPr>
        <w:t> </w:t>
      </w:r>
      <w:r w:rsidRPr="00780A2A">
        <w:rPr>
          <w:spacing w:val="-2"/>
        </w:rPr>
        <w:t>Строки раздела «Комиссии и иные платежи» включаются при наличии отдельных соответствующих тарифов.</w:t>
      </w:r>
      <w:r>
        <w:rPr>
          <w:spacing w:val="-2"/>
        </w:rPr>
        <w:t xml:space="preserve"> Информация о комиссиях и иных платежах актуальна на соответствующую дату данной формы.</w:t>
      </w:r>
    </w:p>
  </w:footnote>
  <w:footnote w:id="3">
    <w:p w:rsidR="00674874" w:rsidRDefault="00034C63" w:rsidP="00034C63">
      <w:pPr>
        <w:pStyle w:val="a4"/>
        <w:ind w:firstLine="567"/>
      </w:pPr>
      <w:r>
        <w:rPr>
          <w:rStyle w:val="a5"/>
          <w:rFonts w:eastAsiaTheme="majorEastAsia"/>
        </w:rPr>
        <w:footnoteRef/>
      </w:r>
      <w:r>
        <w:t xml:space="preserve"> </w:t>
      </w:r>
      <w:r w:rsidRPr="0086022B">
        <w:t xml:space="preserve">Если КО при предоставлении и обслуживании карты взимает с потребителей комиссии и иные платежи, </w:t>
      </w:r>
    </w:p>
    <w:p w:rsidR="00674874" w:rsidRDefault="00034C63" w:rsidP="00034C63">
      <w:pPr>
        <w:pStyle w:val="a4"/>
        <w:ind w:firstLine="567"/>
      </w:pPr>
      <w:r w:rsidRPr="0086022B">
        <w:t xml:space="preserve">которые не отражены в текущей табличной форме, </w:t>
      </w:r>
      <w:r>
        <w:t>данную</w:t>
      </w:r>
      <w:r w:rsidRPr="0086022B">
        <w:t xml:space="preserve"> информацию рекомендуется указывать в </w:t>
      </w:r>
    </w:p>
    <w:p w:rsidR="00034C63" w:rsidRPr="0086022B" w:rsidRDefault="00034C63" w:rsidP="00034C63">
      <w:pPr>
        <w:pStyle w:val="a4"/>
        <w:ind w:firstLine="567"/>
      </w:pPr>
      <w:r>
        <w:t>р</w:t>
      </w:r>
      <w:r w:rsidRPr="0086022B">
        <w:t>азделе 5 настоящей таблицы.</w:t>
      </w:r>
    </w:p>
  </w:footnote>
  <w:footnote w:id="4">
    <w:p w:rsidR="00674874" w:rsidRDefault="00034C63" w:rsidP="00034C63">
      <w:pPr>
        <w:pStyle w:val="a4"/>
        <w:spacing w:line="204" w:lineRule="auto"/>
        <w:ind w:firstLine="567"/>
      </w:pPr>
      <w:r w:rsidRPr="00106C3D">
        <w:rPr>
          <w:rStyle w:val="a5"/>
          <w:rFonts w:eastAsiaTheme="majorEastAsia"/>
        </w:rPr>
        <w:footnoteRef/>
      </w:r>
      <w:r w:rsidRPr="00106C3D">
        <w:t xml:space="preserve"> Операции пополнения и снятия наличных денежных средств, переводов и зачисления денежных средств, </w:t>
      </w:r>
    </w:p>
    <w:p w:rsidR="00034C63" w:rsidRPr="00106C3D" w:rsidRDefault="00034C63" w:rsidP="00034C63">
      <w:pPr>
        <w:pStyle w:val="a4"/>
        <w:spacing w:line="204" w:lineRule="auto"/>
        <w:ind w:firstLine="567"/>
      </w:pPr>
      <w:r w:rsidRPr="00106C3D">
        <w:t>а также оплаты товаров</w:t>
      </w:r>
      <w:r>
        <w:t xml:space="preserve"> (</w:t>
      </w:r>
      <w:r w:rsidRPr="00106C3D">
        <w:t>работ</w:t>
      </w:r>
      <w:r>
        <w:t xml:space="preserve">, </w:t>
      </w:r>
      <w:r w:rsidRPr="00106C3D">
        <w:t>услуг</w:t>
      </w:r>
      <w:r>
        <w:t>)</w:t>
      </w:r>
      <w:r w:rsidRPr="00106C3D">
        <w:t xml:space="preserve"> с использованием карт</w:t>
      </w:r>
      <w:r>
        <w:t>ы</w:t>
      </w:r>
      <w:r w:rsidRPr="00106C3D">
        <w:t xml:space="preserve"> или </w:t>
      </w:r>
      <w:r>
        <w:t>ее</w:t>
      </w:r>
      <w:r w:rsidRPr="00106C3D">
        <w:t xml:space="preserve"> реквизитов.</w:t>
      </w:r>
    </w:p>
  </w:footnote>
  <w:footnote w:id="5">
    <w:p w:rsidR="00674874" w:rsidRDefault="00034C63" w:rsidP="00034C63">
      <w:pPr>
        <w:pStyle w:val="a4"/>
        <w:ind w:firstLine="567"/>
      </w:pPr>
      <w:r>
        <w:rPr>
          <w:rStyle w:val="a5"/>
          <w:rFonts w:eastAsiaTheme="majorEastAsia"/>
        </w:rPr>
        <w:footnoteRef/>
      </w:r>
      <w:r>
        <w:t xml:space="preserve"> </w:t>
      </w:r>
      <w:r w:rsidRPr="005A2F1E">
        <w:t xml:space="preserve">Овердрафт – кредит, предоставляемый </w:t>
      </w:r>
      <w:r>
        <w:t xml:space="preserve">Банком </w:t>
      </w:r>
      <w:r w:rsidRPr="005A2F1E">
        <w:t xml:space="preserve">клиенту при недостаточности или отсутствии на </w:t>
      </w:r>
    </w:p>
    <w:p w:rsidR="00034C63" w:rsidRPr="005A2F1E" w:rsidRDefault="00034C63" w:rsidP="00034C63">
      <w:pPr>
        <w:pStyle w:val="a4"/>
        <w:ind w:firstLine="567"/>
      </w:pPr>
      <w:r w:rsidRPr="005A2F1E">
        <w:t>банковском счете денежных средств.</w:t>
      </w:r>
    </w:p>
  </w:footnote>
  <w:footnote w:id="6">
    <w:p w:rsidR="00674874" w:rsidRDefault="00034C63" w:rsidP="00034C63">
      <w:pPr>
        <w:spacing w:after="0" w:line="240" w:lineRule="auto"/>
        <w:ind w:firstLine="567"/>
        <w:jc w:val="both"/>
        <w:rPr>
          <w:rFonts w:ascii="Times New Roman" w:hAnsi="Times New Roman" w:cs="Times New Roman"/>
          <w:sz w:val="20"/>
          <w:szCs w:val="20"/>
        </w:rPr>
      </w:pPr>
      <w:r w:rsidRPr="00476C8A">
        <w:rPr>
          <w:rStyle w:val="a5"/>
          <w:rFonts w:ascii="Times New Roman" w:hAnsi="Times New Roman" w:cs="Times New Roman"/>
          <w:sz w:val="20"/>
          <w:szCs w:val="20"/>
        </w:rPr>
        <w:footnoteRef/>
      </w:r>
      <w:r w:rsidRPr="00476C8A">
        <w:rPr>
          <w:rFonts w:ascii="Times New Roman" w:hAnsi="Times New Roman" w:cs="Times New Roman"/>
          <w:sz w:val="20"/>
          <w:szCs w:val="20"/>
        </w:rPr>
        <w:t xml:space="preserve"> Часть 2 статьи 11 Федерального закона от 23.12.2003 № 177-ФЗ «О страховании вкладов в банках</w:t>
      </w:r>
    </w:p>
    <w:p w:rsidR="00034C63" w:rsidRPr="00476C8A" w:rsidRDefault="00034C63" w:rsidP="00034C63">
      <w:pPr>
        <w:spacing w:after="0" w:line="240" w:lineRule="auto"/>
        <w:ind w:firstLine="567"/>
        <w:jc w:val="both"/>
        <w:rPr>
          <w:rFonts w:ascii="Times New Roman" w:hAnsi="Times New Roman" w:cs="Times New Roman"/>
          <w:sz w:val="20"/>
          <w:szCs w:val="20"/>
        </w:rPr>
      </w:pPr>
      <w:r w:rsidRPr="00476C8A">
        <w:rPr>
          <w:rFonts w:ascii="Times New Roman" w:hAnsi="Times New Roman" w:cs="Times New Roman"/>
          <w:sz w:val="20"/>
          <w:szCs w:val="20"/>
        </w:rPr>
        <w:t xml:space="preserve">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63"/>
    <w:rsid w:val="00034C63"/>
    <w:rsid w:val="00242845"/>
    <w:rsid w:val="00333238"/>
    <w:rsid w:val="00477A4B"/>
    <w:rsid w:val="00674874"/>
    <w:rsid w:val="00D30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1C539-EE8C-4196-98F3-A2581F4F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C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Table_Footnote_last Знак,З Знак"/>
    <w:basedOn w:val="a0"/>
    <w:link w:val="a4"/>
    <w:uiPriority w:val="99"/>
    <w:locked/>
    <w:rsid w:val="00034C63"/>
    <w:rPr>
      <w:rFonts w:ascii="Times New Roman CYR" w:eastAsia="Times New Roman" w:hAnsi="Times New Roman CYR" w:cs="Times New Roman"/>
      <w:sz w:val="20"/>
      <w:szCs w:val="20"/>
    </w:rPr>
  </w:style>
  <w:style w:type="paragraph" w:styleId="a4">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Table_Footnote_last,Знак1,З Знак Знак,З,Зна,Знак"/>
    <w:basedOn w:val="a"/>
    <w:link w:val="a3"/>
    <w:uiPriority w:val="99"/>
    <w:unhideWhenUsed/>
    <w:rsid w:val="00034C63"/>
    <w:pPr>
      <w:spacing w:after="0" w:line="240" w:lineRule="auto"/>
      <w:jc w:val="both"/>
    </w:pPr>
    <w:rPr>
      <w:rFonts w:ascii="Times New Roman CYR" w:eastAsia="Times New Roman" w:hAnsi="Times New Roman CYR" w:cs="Times New Roman"/>
      <w:sz w:val="20"/>
      <w:szCs w:val="20"/>
      <w:lang w:eastAsia="ru-RU"/>
    </w:rPr>
  </w:style>
  <w:style w:type="character" w:customStyle="1" w:styleId="1">
    <w:name w:val="Текст сноски Знак1"/>
    <w:basedOn w:val="a0"/>
    <w:uiPriority w:val="99"/>
    <w:semiHidden/>
    <w:rsid w:val="00034C63"/>
    <w:rPr>
      <w:sz w:val="20"/>
      <w:szCs w:val="20"/>
      <w:lang w:eastAsia="en-US"/>
    </w:rPr>
  </w:style>
  <w:style w:type="character" w:styleId="a5">
    <w:name w:val="footnote reference"/>
    <w:uiPriority w:val="99"/>
    <w:unhideWhenUsed/>
    <w:rsid w:val="00034C63"/>
    <w:rPr>
      <w:vertAlign w:val="superscript"/>
    </w:rPr>
  </w:style>
  <w:style w:type="table" w:customStyle="1" w:styleId="6">
    <w:name w:val="Сетка таблицы6"/>
    <w:basedOn w:val="a1"/>
    <w:next w:val="a6"/>
    <w:uiPriority w:val="39"/>
    <w:rsid w:val="00034C6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3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bank.ru/" TargetMode="External"/><Relationship Id="rId13" Type="http://schemas.openxmlformats.org/officeDocument/2006/relationships/hyperlink" Target="https://srbank.ru/about/tariffs1.html" TargetMode="External"/><Relationship Id="rId18" Type="http://schemas.openxmlformats.org/officeDocument/2006/relationships/hyperlink" Target="https://srbank.ru/about/tariffs1.html" TargetMode="External"/><Relationship Id="rId3" Type="http://schemas.openxmlformats.org/officeDocument/2006/relationships/webSettings" Target="webSettings.xml"/><Relationship Id="rId21" Type="http://schemas.openxmlformats.org/officeDocument/2006/relationships/hyperlink" Target="mailto:bank@srbank.ru" TargetMode="External"/><Relationship Id="rId7" Type="http://schemas.openxmlformats.org/officeDocument/2006/relationships/hyperlink" Target="mailto:bank@srbank.ru" TargetMode="External"/><Relationship Id="rId12" Type="http://schemas.openxmlformats.org/officeDocument/2006/relationships/hyperlink" Target="https://srbank.ru/about/tariffs1.html" TargetMode="External"/><Relationship Id="rId17" Type="http://schemas.openxmlformats.org/officeDocument/2006/relationships/hyperlink" Target="https://srbank.ru/about/tariffs1.html" TargetMode="External"/><Relationship Id="rId2" Type="http://schemas.openxmlformats.org/officeDocument/2006/relationships/settings" Target="settings.xml"/><Relationship Id="rId16" Type="http://schemas.openxmlformats.org/officeDocument/2006/relationships/hyperlink" Target="https://srbank.ru/about/tariffs1.html" TargetMode="External"/><Relationship Id="rId20" Type="http://schemas.openxmlformats.org/officeDocument/2006/relationships/hyperlink" Target="https://srbank.ru/individual/cards.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rbank.ru/about/tariffs1.html" TargetMode="External"/><Relationship Id="rId5" Type="http://schemas.openxmlformats.org/officeDocument/2006/relationships/endnotes" Target="endnotes.xml"/><Relationship Id="rId15" Type="http://schemas.openxmlformats.org/officeDocument/2006/relationships/hyperlink" Target="https://srbank.ru/about/tariffs1.html" TargetMode="External"/><Relationship Id="rId23" Type="http://schemas.openxmlformats.org/officeDocument/2006/relationships/theme" Target="theme/theme1.xml"/><Relationship Id="rId10" Type="http://schemas.openxmlformats.org/officeDocument/2006/relationships/hyperlink" Target="https://srbank.ru/about/tariffs1.html" TargetMode="External"/><Relationship Id="rId19" Type="http://schemas.openxmlformats.org/officeDocument/2006/relationships/hyperlink" Target="https://srbank.ru/individual/cards.html" TargetMode="External"/><Relationship Id="rId4" Type="http://schemas.openxmlformats.org/officeDocument/2006/relationships/footnotes" Target="footnotes.xml"/><Relationship Id="rId9" Type="http://schemas.openxmlformats.org/officeDocument/2006/relationships/hyperlink" Target="https://srbank.ru/about/tariffs1.html" TargetMode="External"/><Relationship Id="rId14" Type="http://schemas.openxmlformats.org/officeDocument/2006/relationships/hyperlink" Target="https://srbank.ru/about/tariffs1.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Воробьёва Л. А.</dc:creator>
  <cp:keywords/>
  <dc:description/>
  <cp:lastModifiedBy>Воробьёва Л. А.</cp:lastModifiedBy>
  <cp:revision>2</cp:revision>
  <dcterms:created xsi:type="dcterms:W3CDTF">2026-06-22T12:25:00Z</dcterms:created>
  <dcterms:modified xsi:type="dcterms:W3CDTF">2026-06-22T13:23:00Z</dcterms:modified>
</cp:coreProperties>
</file>